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项目技术要求</w:t>
      </w:r>
    </w:p>
    <w:p>
      <w:pPr>
        <w:spacing w:line="460" w:lineRule="exact"/>
        <w:ind w:firstLine="48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一、项目具体要求</w:t>
      </w:r>
    </w:p>
    <w:p>
      <w:pPr>
        <w:spacing w:line="460" w:lineRule="exact"/>
        <w:ind w:firstLine="48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本项目实施地点在驻马店市中医院院内；本项目为运营服务等全包干式项目，本项目设计污水日处理能力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吨，现实际日处理污水量约为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吨左右。</w:t>
      </w:r>
    </w:p>
    <w:p>
      <w:pPr>
        <w:spacing w:line="460" w:lineRule="exact"/>
        <w:ind w:firstLine="48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</w:t>
      </w:r>
      <w:r>
        <w:rPr>
          <w:rFonts w:ascii="仿宋" w:hAnsi="仿宋" w:eastAsia="仿宋" w:cs="宋体"/>
          <w:color w:val="00000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、清毒方式：医院污水处理消毒方式为活性氧消毒方式即：单过硫酸氢钾氧钾为主要成分消毒粉。</w:t>
      </w:r>
    </w:p>
    <w:p>
      <w:pPr>
        <w:spacing w:line="460" w:lineRule="exact"/>
        <w:ind w:firstLine="48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</w:t>
      </w:r>
      <w:r>
        <w:rPr>
          <w:rFonts w:ascii="仿宋" w:hAnsi="仿宋" w:eastAsia="仿宋" w:cs="宋体"/>
          <w:color w:val="00000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、进出水水质标准</w:t>
      </w:r>
    </w:p>
    <w:p>
      <w:pPr>
        <w:spacing w:line="460" w:lineRule="exact"/>
        <w:ind w:firstLine="48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3.1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、进水水质</w:t>
      </w:r>
    </w:p>
    <w:p>
      <w:pPr>
        <w:autoSpaceDE w:val="0"/>
        <w:autoSpaceDN w:val="0"/>
        <w:snapToGrid w:val="0"/>
        <w:spacing w:line="460" w:lineRule="exact"/>
        <w:ind w:firstLine="48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设计进水水质如下表所示：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16"/>
        <w:gridCol w:w="1155"/>
        <w:gridCol w:w="885"/>
        <w:gridCol w:w="990"/>
        <w:gridCol w:w="228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7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31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CODcrmg/L</w:t>
            </w:r>
          </w:p>
        </w:tc>
        <w:tc>
          <w:tcPr>
            <w:tcW w:w="11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BODmg/L</w:t>
            </w:r>
          </w:p>
        </w:tc>
        <w:tc>
          <w:tcPr>
            <w:tcW w:w="8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NH3-N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99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SSmg/L</w:t>
            </w:r>
          </w:p>
        </w:tc>
        <w:tc>
          <w:tcPr>
            <w:tcW w:w="228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粪大肠菌群数个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/L</w:t>
            </w:r>
          </w:p>
        </w:tc>
        <w:tc>
          <w:tcPr>
            <w:tcW w:w="10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47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设计原污水水质</w:t>
            </w:r>
          </w:p>
        </w:tc>
        <w:tc>
          <w:tcPr>
            <w:tcW w:w="131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150-300</w:t>
            </w:r>
          </w:p>
        </w:tc>
        <w:tc>
          <w:tcPr>
            <w:tcW w:w="11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80-150</w:t>
            </w:r>
          </w:p>
        </w:tc>
        <w:tc>
          <w:tcPr>
            <w:tcW w:w="8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10-50</w:t>
            </w:r>
          </w:p>
        </w:tc>
        <w:tc>
          <w:tcPr>
            <w:tcW w:w="99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40-150</w:t>
            </w:r>
          </w:p>
        </w:tc>
        <w:tc>
          <w:tcPr>
            <w:tcW w:w="228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10000-700000</w:t>
            </w:r>
          </w:p>
        </w:tc>
        <w:tc>
          <w:tcPr>
            <w:tcW w:w="10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6.8-8.5</w:t>
            </w:r>
          </w:p>
        </w:tc>
      </w:tr>
    </w:tbl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</w:t>
      </w:r>
      <w:r>
        <w:rPr>
          <w:rFonts w:ascii="仿宋" w:hAnsi="仿宋" w:eastAsia="仿宋" w:cs="宋体"/>
          <w:color w:val="000000"/>
          <w:sz w:val="32"/>
          <w:szCs w:val="32"/>
        </w:rPr>
        <w:t>3.2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、出水水质标准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出水执行《医疗机构水污染排放标准》（</w:t>
      </w:r>
      <w:r>
        <w:rPr>
          <w:rFonts w:ascii="仿宋" w:hAnsi="仿宋" w:eastAsia="仿宋" w:cs="宋体"/>
          <w:color w:val="000000"/>
          <w:sz w:val="32"/>
          <w:szCs w:val="32"/>
        </w:rPr>
        <w:t>GB18466-2005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），具体排放如下：</w:t>
      </w:r>
    </w:p>
    <w:tbl>
      <w:tblPr>
        <w:tblStyle w:val="4"/>
        <w:tblpPr w:leftFromText="180" w:rightFromText="180" w:vertAnchor="text" w:horzAnchor="page" w:tblpX="1743" w:tblpY="330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319"/>
        <w:gridCol w:w="223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ind w:firstLine="48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粪大肠菌群数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/L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ind w:firstLine="48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CODcr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ind w:firstLine="48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BOD5</w:t>
            </w:r>
          </w:p>
        </w:tc>
        <w:tc>
          <w:tcPr>
            <w:tcW w:w="2239" w:type="dxa"/>
            <w:vAlign w:val="bottom"/>
          </w:tcPr>
          <w:p>
            <w:pPr>
              <w:tabs>
                <w:tab w:val="center" w:pos="931"/>
              </w:tabs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ind w:firstLine="48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ind w:firstLine="48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NH3-N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ind w:firstLine="48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余氯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ind w:firstLine="48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pH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ind w:firstLine="48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动植物油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ind w:firstLine="48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阴离子表面活性剂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3" w:type="dxa"/>
            <w:vAlign w:val="bottom"/>
          </w:tcPr>
          <w:p>
            <w:pPr>
              <w:spacing w:line="340" w:lineRule="exact"/>
              <w:ind w:firstLine="48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色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稀释倍数</w:t>
            </w:r>
          </w:p>
        </w:tc>
        <w:tc>
          <w:tcPr>
            <w:tcW w:w="2239" w:type="dxa"/>
            <w:vAlign w:val="bottom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30</w:t>
            </w:r>
          </w:p>
        </w:tc>
      </w:tr>
    </w:tbl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</w:t>
      </w:r>
      <w:r>
        <w:rPr>
          <w:rFonts w:ascii="仿宋" w:hAnsi="仿宋" w:eastAsia="仿宋" w:cs="宋体"/>
          <w:color w:val="000000"/>
          <w:sz w:val="32"/>
          <w:szCs w:val="32"/>
        </w:rPr>
        <w:t>4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、技术方案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供应商应按采购文件的要求，并以此为前提，就市中医院污水处理站运营管理服务采购项目提交一份技术方案。供应商提交的方案包括以下内容：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</w:t>
      </w:r>
      <w:r>
        <w:rPr>
          <w:rFonts w:ascii="仿宋" w:hAnsi="仿宋" w:eastAsia="仿宋" w:cs="宋体"/>
          <w:color w:val="000000"/>
          <w:sz w:val="32"/>
          <w:szCs w:val="32"/>
        </w:rPr>
        <w:t>4.1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、运营管理计划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(1)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阐述拟采用的工艺控制策略和方法与预期的效果，以及操作规程、观察、监测和控制手段、实验室管理等。</w:t>
      </w:r>
    </w:p>
    <w:p>
      <w:pPr>
        <w:spacing w:line="4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sz w:val="32"/>
          <w:szCs w:val="32"/>
        </w:rPr>
        <w:t>(2)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描述人员配置及轮班计划。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(3)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描述水质监测的水质检测点布置及水质检验方法、检测计划和频次。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</w:t>
      </w:r>
      <w:r>
        <w:rPr>
          <w:rFonts w:ascii="仿宋" w:hAnsi="仿宋" w:eastAsia="仿宋" w:cs="宋体"/>
          <w:color w:val="000000"/>
          <w:sz w:val="32"/>
          <w:szCs w:val="32"/>
        </w:rPr>
        <w:t>4.2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、日常维修养护计划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(1)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供应商拟采用的维修保养具体措施和计划，包括日常维护、小修、中修、大修的具体工作计划与人员安排。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(2)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维修保养的质量监测手段和措施。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(3)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日常维修养护工作记录与保存、设备维修与运行状态的记录与保存、以及其他维修保养有关工作记录与保存的方法和形式。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(4)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污水处理站要配备专业专人管理，污水处理站的监测要严格按照环保要求进行，并每月出具相关部门的水质监测报告。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4948794F"/>
    <w:rsid w:val="1EEA2E2A"/>
    <w:rsid w:val="278A0093"/>
    <w:rsid w:val="4948794F"/>
    <w:rsid w:val="4F061DBB"/>
    <w:rsid w:val="6D9B34BE"/>
    <w:rsid w:val="74C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2023-07-27T08:57:00Z</dcterms:created>
  <dc:creator>驻马店市中医院招标办</dc:creator>
  <cp:lastModifiedBy>驻马店市中医院招标办</cp:lastModifiedBy>
  <dcterms:modified xsi:type="dcterms:W3CDTF">2023-08-23T02:05:10Z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84B42CA7A5004306BB9735F674F1ACDE_13</vt:lpwstr>
  </property>
</Properties>
</file>