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83E8A6">
      <w:pPr>
        <w:spacing w:line="215" w:lineRule="exact"/>
      </w:pPr>
    </w:p>
    <w:p w14:paraId="095FFCC1">
      <w:pPr>
        <w:spacing w:line="215" w:lineRule="exact"/>
      </w:pPr>
    </w:p>
    <w:p w14:paraId="533304D2">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13" w:beforeAutospacing="0" w:after="0" w:afterAutospacing="0" w:line="220" w:lineRule="auto"/>
        <w:ind w:right="0"/>
        <w:jc w:val="center"/>
        <w:rPr>
          <w:rFonts w:hint="default" w:eastAsia="黑体"/>
          <w:lang w:val="en-US" w:eastAsia="zh-CN"/>
        </w:rPr>
      </w:pPr>
      <w:r>
        <w:rPr>
          <w:rFonts w:ascii="黑体" w:hAnsi="宋体" w:eastAsia="黑体" w:cs="黑体"/>
          <w:color w:val="000000"/>
          <w:sz w:val="35"/>
          <w:szCs w:val="35"/>
        </w:rPr>
        <w:t>驻马店市中医院</w:t>
      </w:r>
      <w:r>
        <w:rPr>
          <w:rFonts w:hint="eastAsia" w:ascii="黑体" w:hAnsi="宋体" w:eastAsia="黑体" w:cs="黑体"/>
          <w:color w:val="000000"/>
          <w:sz w:val="35"/>
          <w:szCs w:val="35"/>
          <w:lang w:val="en-US" w:eastAsia="zh-CN"/>
        </w:rPr>
        <w:t>采购</w:t>
      </w:r>
      <w:r>
        <w:rPr>
          <w:rFonts w:hint="eastAsia" w:ascii="黑体" w:hAnsi="宋体" w:eastAsia="黑体" w:cs="黑体"/>
          <w:color w:val="000000"/>
          <w:sz w:val="35"/>
          <w:szCs w:val="35"/>
        </w:rPr>
        <w:t>项目</w:t>
      </w:r>
      <w:r>
        <w:rPr>
          <w:rFonts w:hint="eastAsia" w:ascii="黑体" w:hAnsi="宋体" w:eastAsia="黑体" w:cs="黑体"/>
          <w:color w:val="000000"/>
          <w:sz w:val="35"/>
          <w:szCs w:val="35"/>
          <w:lang w:val="en-US" w:eastAsia="zh-CN"/>
        </w:rPr>
        <w:t>需求确认书</w:t>
      </w:r>
    </w:p>
    <w:p w14:paraId="207E4EE3">
      <w:pPr>
        <w:spacing w:line="215" w:lineRule="exact"/>
      </w:pPr>
    </w:p>
    <w:p w14:paraId="5A96E3C5">
      <w:pPr>
        <w:spacing w:line="215" w:lineRule="exact"/>
      </w:pPr>
    </w:p>
    <w:tbl>
      <w:tblPr>
        <w:tblStyle w:val="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38"/>
        <w:gridCol w:w="7665"/>
      </w:tblGrid>
      <w:tr w14:paraId="480AD3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5" w:hRule="atLeast"/>
          <w:jc w:val="center"/>
        </w:trPr>
        <w:tc>
          <w:tcPr>
            <w:tcW w:w="2138" w:type="dxa"/>
            <w:vAlign w:val="center"/>
          </w:tcPr>
          <w:p w14:paraId="0413A5B3">
            <w:pPr>
              <w:pStyle w:val="10"/>
              <w:spacing w:before="75" w:line="220" w:lineRule="auto"/>
              <w:jc w:val="center"/>
              <w:rPr>
                <w:sz w:val="32"/>
                <w:szCs w:val="32"/>
              </w:rPr>
            </w:pPr>
            <w:r>
              <w:rPr>
                <w:spacing w:val="2"/>
                <w:sz w:val="32"/>
                <w:szCs w:val="32"/>
              </w:rPr>
              <w:t>项目名称</w:t>
            </w:r>
          </w:p>
        </w:tc>
        <w:tc>
          <w:tcPr>
            <w:tcW w:w="7665" w:type="dxa"/>
            <w:vAlign w:val="center"/>
          </w:tcPr>
          <w:p w14:paraId="5D1599D2">
            <w:pPr>
              <w:pStyle w:val="10"/>
              <w:keepNext w:val="0"/>
              <w:keepLines w:val="0"/>
              <w:pageBreakBefore w:val="0"/>
              <w:widowControl/>
              <w:kinsoku w:val="0"/>
              <w:wordWrap/>
              <w:overflowPunct/>
              <w:topLinePunct w:val="0"/>
              <w:autoSpaceDE w:val="0"/>
              <w:autoSpaceDN w:val="0"/>
              <w:bidi w:val="0"/>
              <w:adjustRightInd w:val="0"/>
              <w:snapToGrid w:val="0"/>
              <w:spacing w:before="75" w:line="221" w:lineRule="auto"/>
              <w:ind w:firstLine="0" w:firstLineChars="0"/>
              <w:jc w:val="center"/>
              <w:textAlignment w:val="baseline"/>
              <w:rPr>
                <w:rFonts w:hint="eastAsia" w:ascii="宋体" w:hAnsi="宋体" w:eastAsia="宋体" w:cs="宋体"/>
                <w:spacing w:val="2"/>
                <w:sz w:val="24"/>
                <w:szCs w:val="24"/>
              </w:rPr>
            </w:pPr>
            <w:r>
              <w:rPr>
                <w:rFonts w:hint="eastAsia" w:ascii="仿宋" w:hAnsi="仿宋" w:eastAsia="仿宋" w:cs="仿宋"/>
                <w:spacing w:val="2"/>
                <w:sz w:val="24"/>
                <w:szCs w:val="24"/>
              </w:rPr>
              <w:t>驻马店市</w:t>
            </w:r>
            <w:r>
              <w:rPr>
                <w:rFonts w:hint="eastAsia" w:ascii="仿宋" w:hAnsi="仿宋" w:eastAsia="仿宋" w:cs="仿宋"/>
                <w:spacing w:val="2"/>
                <w:sz w:val="24"/>
                <w:szCs w:val="24"/>
                <w:lang w:val="en-US" w:eastAsia="zh-CN"/>
              </w:rPr>
              <w:t>中医院体检中心基因检测外送服务</w:t>
            </w:r>
            <w:r>
              <w:rPr>
                <w:rFonts w:hint="eastAsia" w:ascii="仿宋" w:hAnsi="仿宋" w:eastAsia="仿宋" w:cs="仿宋"/>
                <w:spacing w:val="2"/>
                <w:sz w:val="24"/>
                <w:szCs w:val="24"/>
              </w:rPr>
              <w:t>项目</w:t>
            </w:r>
          </w:p>
        </w:tc>
      </w:tr>
      <w:tr w14:paraId="40AA47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jc w:val="center"/>
        </w:trPr>
        <w:tc>
          <w:tcPr>
            <w:tcW w:w="2138" w:type="dxa"/>
            <w:vAlign w:val="center"/>
          </w:tcPr>
          <w:p w14:paraId="38CC9979">
            <w:pPr>
              <w:pStyle w:val="10"/>
              <w:spacing w:before="75" w:line="220" w:lineRule="auto"/>
              <w:jc w:val="center"/>
              <w:rPr>
                <w:rFonts w:hint="eastAsia" w:eastAsia="宋体"/>
                <w:sz w:val="32"/>
                <w:szCs w:val="32"/>
                <w:lang w:val="en-US" w:eastAsia="zh-CN"/>
              </w:rPr>
            </w:pPr>
            <w:r>
              <w:rPr>
                <w:rFonts w:hint="eastAsia"/>
                <w:sz w:val="32"/>
                <w:szCs w:val="32"/>
                <w:lang w:val="en-US" w:eastAsia="zh-CN"/>
              </w:rPr>
              <w:t>一</w:t>
            </w:r>
            <w:r>
              <w:rPr>
                <w:sz w:val="32"/>
                <w:szCs w:val="32"/>
              </w:rPr>
              <w:t>、项目需求</w:t>
            </w:r>
            <w:r>
              <w:rPr>
                <w:rFonts w:hint="eastAsia"/>
                <w:sz w:val="32"/>
                <w:szCs w:val="32"/>
                <w:lang w:val="en-US" w:eastAsia="zh-CN"/>
              </w:rPr>
              <w:t>概况</w:t>
            </w:r>
          </w:p>
        </w:tc>
        <w:tc>
          <w:tcPr>
            <w:tcW w:w="7665" w:type="dxa"/>
            <w:vAlign w:val="center"/>
          </w:tcPr>
          <w:p w14:paraId="7D9A5AEC">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80" w:firstLineChars="200"/>
              <w:jc w:val="both"/>
              <w:textAlignment w:val="baseline"/>
              <w:rPr>
                <w:rFonts w:hint="default" w:ascii="宋体" w:hAnsi="宋体" w:eastAsia="宋体" w:cs="宋体"/>
                <w:sz w:val="24"/>
                <w:szCs w:val="24"/>
                <w:lang w:val="en-US" w:eastAsia="zh-CN"/>
              </w:rPr>
            </w:pPr>
            <w:r>
              <w:rPr>
                <w:rFonts w:hint="eastAsia" w:ascii="仿宋" w:hAnsi="仿宋" w:eastAsia="仿宋" w:cs="仿宋"/>
                <w:sz w:val="24"/>
                <w:szCs w:val="24"/>
                <w:lang w:val="en-US" w:eastAsia="zh-CN"/>
              </w:rPr>
              <w:t>结合驻马店市健康体检受检人群需求，驻马店市中医院体检中心拟开展肿瘤、心、脑血管疾病基因检测，鉴于我院目前检验、病理条件，上述项目需要招标选取第三方外送检测机构。</w:t>
            </w:r>
          </w:p>
        </w:tc>
      </w:tr>
      <w:tr w14:paraId="714033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79" w:hRule="atLeast"/>
          <w:jc w:val="center"/>
        </w:trPr>
        <w:tc>
          <w:tcPr>
            <w:tcW w:w="2138" w:type="dxa"/>
            <w:vAlign w:val="center"/>
          </w:tcPr>
          <w:p w14:paraId="56566ACB">
            <w:pPr>
              <w:pStyle w:val="10"/>
              <w:spacing w:before="75" w:line="219" w:lineRule="auto"/>
              <w:jc w:val="center"/>
              <w:rPr>
                <w:sz w:val="32"/>
                <w:szCs w:val="32"/>
              </w:rPr>
            </w:pPr>
            <w:r>
              <w:rPr>
                <w:spacing w:val="1"/>
                <w:sz w:val="32"/>
                <w:szCs w:val="32"/>
              </w:rPr>
              <w:t>二、</w:t>
            </w:r>
            <w:r>
              <w:rPr>
                <w:rFonts w:hint="eastAsia"/>
                <w:spacing w:val="1"/>
                <w:sz w:val="32"/>
                <w:szCs w:val="32"/>
                <w:lang w:val="en-US" w:eastAsia="zh-CN"/>
              </w:rPr>
              <w:t>资格资质</w:t>
            </w:r>
            <w:r>
              <w:rPr>
                <w:spacing w:val="1"/>
                <w:sz w:val="32"/>
                <w:szCs w:val="32"/>
              </w:rPr>
              <w:t>要求</w:t>
            </w:r>
          </w:p>
        </w:tc>
        <w:tc>
          <w:tcPr>
            <w:tcW w:w="7665" w:type="dxa"/>
            <w:vAlign w:val="center"/>
          </w:tcPr>
          <w:p w14:paraId="664B709F">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480" w:firstLineChars="200"/>
              <w:jc w:val="both"/>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参与项目的供应商必须是合法注册的公司或组织：</w:t>
            </w:r>
          </w:p>
          <w:p w14:paraId="3D88770A">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480" w:firstLineChars="200"/>
              <w:jc w:val="both"/>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1、具备《中华人民共和国政府采购法》第二十二条规定的条件</w:t>
            </w:r>
            <w:bookmarkStart w:id="0" w:name="_GoBack"/>
            <w:bookmarkEnd w:id="0"/>
            <w:r>
              <w:rPr>
                <w:rFonts w:hint="eastAsia" w:ascii="仿宋" w:hAnsi="仿宋" w:eastAsia="仿宋" w:cs="仿宋"/>
                <w:sz w:val="24"/>
                <w:szCs w:val="24"/>
                <w:lang w:val="en-US" w:eastAsia="zh-CN"/>
              </w:rPr>
              <w:t>，并持有有效的营业执照。</w:t>
            </w:r>
          </w:p>
          <w:p w14:paraId="32FCF553">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480" w:firstLineChars="200"/>
              <w:jc w:val="both"/>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2、具有履行合同所必须的设备和专业技术能力。</w:t>
            </w:r>
          </w:p>
          <w:p w14:paraId="6E3347FB">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480" w:firstLineChars="200"/>
              <w:jc w:val="both"/>
              <w:textAlignment w:val="baseline"/>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3、★投标人取得《医疗机构执业许可证》，具有卫生主管部门批准的诊疗科目，包括医学检验科或临床细胞分子遗传学专业；取得临床基因扩增检验技术的资质。投标人提供《医疗机构执业许可证》。</w:t>
            </w:r>
          </w:p>
          <w:p w14:paraId="06CC17AF">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480" w:firstLineChars="200"/>
              <w:jc w:val="both"/>
              <w:textAlignment w:val="baseline"/>
              <w:rPr>
                <w:rFonts w:hint="eastAsia" w:ascii="宋体" w:hAnsi="宋体" w:eastAsia="宋体" w:cs="宋体"/>
                <w:spacing w:val="-1"/>
                <w:sz w:val="24"/>
                <w:szCs w:val="24"/>
              </w:rPr>
            </w:pPr>
            <w:r>
              <w:rPr>
                <w:rFonts w:hint="eastAsia" w:ascii="仿宋" w:hAnsi="仿宋" w:eastAsia="仿宋" w:cs="仿宋"/>
                <w:sz w:val="24"/>
                <w:szCs w:val="24"/>
                <w:lang w:val="en-US" w:eastAsia="zh-CN"/>
              </w:rPr>
              <w:t>4、对列入失信被执行人、重大税收违法失信主体、政府采购严重违法失信行为记录名单的供应商，拒绝参与本项目，提供查询记录（“信用中国”及“中国政府采购网”查询记录）</w:t>
            </w:r>
          </w:p>
        </w:tc>
      </w:tr>
      <w:tr w14:paraId="773793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9" w:hRule="atLeast"/>
          <w:jc w:val="center"/>
        </w:trPr>
        <w:tc>
          <w:tcPr>
            <w:tcW w:w="2138" w:type="dxa"/>
            <w:vAlign w:val="center"/>
          </w:tcPr>
          <w:p w14:paraId="07EAAF2F">
            <w:pPr>
              <w:pStyle w:val="10"/>
              <w:spacing w:before="75" w:line="219" w:lineRule="auto"/>
              <w:ind w:left="74"/>
              <w:jc w:val="both"/>
              <w:rPr>
                <w:sz w:val="32"/>
                <w:szCs w:val="32"/>
              </w:rPr>
            </w:pPr>
            <w:r>
              <w:rPr>
                <w:rFonts w:hint="eastAsia"/>
                <w:spacing w:val="1"/>
                <w:sz w:val="32"/>
                <w:szCs w:val="32"/>
                <w:lang w:val="en-US" w:eastAsia="zh-CN"/>
              </w:rPr>
              <w:t>三、</w:t>
            </w:r>
            <w:r>
              <w:rPr>
                <w:spacing w:val="1"/>
                <w:sz w:val="32"/>
                <w:szCs w:val="32"/>
              </w:rPr>
              <w:t>项目</w:t>
            </w:r>
            <w:r>
              <w:rPr>
                <w:spacing w:val="-1"/>
                <w:sz w:val="32"/>
                <w:szCs w:val="32"/>
              </w:rPr>
              <w:t>技术参数</w:t>
            </w:r>
            <w:r>
              <w:rPr>
                <w:rFonts w:hint="eastAsia"/>
                <w:spacing w:val="-1"/>
                <w:sz w:val="32"/>
                <w:szCs w:val="32"/>
                <w:lang w:eastAsia="zh-CN"/>
              </w:rPr>
              <w:t>、</w:t>
            </w:r>
            <w:r>
              <w:rPr>
                <w:spacing w:val="1"/>
                <w:sz w:val="32"/>
                <w:szCs w:val="32"/>
              </w:rPr>
              <w:t>商务</w:t>
            </w:r>
            <w:r>
              <w:rPr>
                <w:spacing w:val="-1"/>
                <w:sz w:val="32"/>
                <w:szCs w:val="32"/>
              </w:rPr>
              <w:t>要求</w:t>
            </w:r>
          </w:p>
        </w:tc>
        <w:tc>
          <w:tcPr>
            <w:tcW w:w="7665" w:type="dxa"/>
            <w:vAlign w:val="center"/>
          </w:tcPr>
          <w:p w14:paraId="421A541B">
            <w:pPr>
              <w:keepNext w:val="0"/>
              <w:keepLines w:val="0"/>
              <w:pageBreakBefore w:val="0"/>
              <w:widowControl w:val="0"/>
              <w:kinsoku/>
              <w:wordWrap/>
              <w:overflowPunct/>
              <w:topLinePunct w:val="0"/>
              <w:autoSpaceDE/>
              <w:autoSpaceDN/>
              <w:bidi w:val="0"/>
              <w:adjustRightInd/>
              <w:snapToGrid/>
              <w:spacing w:line="320" w:lineRule="exact"/>
              <w:jc w:val="left"/>
              <w:textAlignment w:val="auto"/>
              <w:outlineLvl w:val="1"/>
              <w:rPr>
                <w:rFonts w:hint="default"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技术要求</w:t>
            </w:r>
          </w:p>
          <w:p w14:paraId="16F4FBE1">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outlineLvl w:val="1"/>
              <w:rPr>
                <w:rFonts w:hint="eastAsia" w:ascii="仿宋" w:hAnsi="仿宋" w:eastAsia="仿宋" w:cs="仿宋"/>
                <w:color w:val="auto"/>
                <w:sz w:val="24"/>
                <w:szCs w:val="24"/>
              </w:rPr>
            </w:pPr>
            <w:r>
              <w:rPr>
                <w:rFonts w:hint="eastAsia" w:ascii="仿宋" w:hAnsi="仿宋" w:eastAsia="仿宋" w:cs="仿宋"/>
                <w:color w:val="auto"/>
                <w:sz w:val="24"/>
                <w:szCs w:val="24"/>
              </w:rPr>
              <w:t>一、服务内容要求</w:t>
            </w:r>
          </w:p>
          <w:p w14:paraId="239337BD">
            <w:pPr>
              <w:keepNext w:val="0"/>
              <w:keepLines w:val="0"/>
              <w:pageBreakBefore w:val="0"/>
              <w:kinsoku/>
              <w:wordWrap/>
              <w:overflowPunct/>
              <w:topLinePunct w:val="0"/>
              <w:autoSpaceDE/>
              <w:autoSpaceDN/>
              <w:bidi w:val="0"/>
              <w:adjustRightInd/>
              <w:snapToGrid/>
              <w:spacing w:line="320" w:lineRule="exact"/>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按国家检验工作及检验实验室管理相关法律、法规、规章、标准和政策，根据采购人需求提供检测服务，具体包括：标本处理、冷链运输、检测服务、报告查询服务、售后、投诉和纠纷处理以及相关附加服务。</w:t>
            </w:r>
          </w:p>
          <w:p w14:paraId="74DD1D62">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outlineLvl w:val="1"/>
              <w:rPr>
                <w:rFonts w:hint="eastAsia" w:ascii="仿宋" w:hAnsi="仿宋" w:eastAsia="仿宋" w:cs="仿宋"/>
                <w:color w:val="auto"/>
                <w:sz w:val="24"/>
                <w:szCs w:val="24"/>
              </w:rPr>
            </w:pPr>
            <w:r>
              <w:rPr>
                <w:rFonts w:hint="eastAsia" w:ascii="仿宋" w:hAnsi="仿宋" w:eastAsia="仿宋" w:cs="仿宋"/>
                <w:color w:val="auto"/>
                <w:sz w:val="24"/>
                <w:szCs w:val="24"/>
              </w:rPr>
              <w:t>二、检测要求</w:t>
            </w:r>
          </w:p>
          <w:p w14:paraId="3A27F405">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outlineLvl w:val="2"/>
              <w:rPr>
                <w:rFonts w:hint="eastAsia" w:ascii="仿宋" w:hAnsi="仿宋" w:eastAsia="仿宋" w:cs="仿宋"/>
                <w:color w:val="auto"/>
                <w:sz w:val="24"/>
                <w:szCs w:val="24"/>
              </w:rPr>
            </w:pPr>
            <w:r>
              <w:rPr>
                <w:rFonts w:hint="eastAsia" w:ascii="仿宋" w:hAnsi="仿宋" w:eastAsia="仿宋" w:cs="仿宋"/>
                <w:color w:val="auto"/>
                <w:sz w:val="24"/>
                <w:szCs w:val="24"/>
              </w:rPr>
              <w:t>(一)服务质量标准</w:t>
            </w:r>
          </w:p>
          <w:p w14:paraId="354F3D30">
            <w:pPr>
              <w:keepNext w:val="0"/>
              <w:keepLines w:val="0"/>
              <w:pageBreakBefore w:val="0"/>
              <w:kinsoku/>
              <w:wordWrap/>
              <w:overflowPunct/>
              <w:topLinePunct w:val="0"/>
              <w:autoSpaceDE/>
              <w:autoSpaceDN/>
              <w:bidi w:val="0"/>
              <w:adjustRightInd/>
              <w:snapToGrid/>
              <w:spacing w:line="320" w:lineRule="exact"/>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符合国家、省、地方及行业规范相关标准，满足采购人要求。</w:t>
            </w:r>
          </w:p>
          <w:p w14:paraId="744C2448">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outlineLvl w:val="2"/>
              <w:rPr>
                <w:rFonts w:hint="eastAsia" w:ascii="仿宋" w:hAnsi="仿宋" w:eastAsia="仿宋" w:cs="仿宋"/>
                <w:color w:val="auto"/>
                <w:sz w:val="24"/>
                <w:szCs w:val="24"/>
              </w:rPr>
            </w:pPr>
            <w:r>
              <w:rPr>
                <w:rFonts w:hint="eastAsia" w:ascii="仿宋" w:hAnsi="仿宋" w:eastAsia="仿宋" w:cs="仿宋"/>
                <w:color w:val="auto"/>
                <w:sz w:val="24"/>
                <w:szCs w:val="24"/>
              </w:rPr>
              <w:t>(二)质量保障</w:t>
            </w:r>
          </w:p>
          <w:p w14:paraId="01B882DB">
            <w:pPr>
              <w:keepNext w:val="0"/>
              <w:keepLines w:val="0"/>
              <w:pageBreakBefore w:val="0"/>
              <w:kinsoku/>
              <w:wordWrap/>
              <w:overflowPunct/>
              <w:topLinePunct w:val="0"/>
              <w:autoSpaceDE/>
              <w:autoSpaceDN/>
              <w:bidi w:val="0"/>
              <w:adjustRightInd/>
              <w:snapToGrid/>
              <w:spacing w:line="320" w:lineRule="exact"/>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1、成交供应商需保证检测项目检测质量，具备检测项目的相应检测设备、技术人才，并有检验前、检验中、检验后质量保障措施。检验前质量保障措施包括标本采集要求培训，标本箱运送温度控制(2-8℃)及运送标本完整性保障；检验中质量保障措施包括标准化的操作规范、室内质控等；检验后质量保障措施包括异常结果处理流程、临床提出异议的检验报告处理流程等。</w:t>
            </w:r>
          </w:p>
          <w:p w14:paraId="2A22C46A">
            <w:pPr>
              <w:keepNext w:val="0"/>
              <w:keepLines w:val="0"/>
              <w:pageBreakBefore w:val="0"/>
              <w:kinsoku/>
              <w:wordWrap/>
              <w:overflowPunct/>
              <w:topLinePunct w:val="0"/>
              <w:autoSpaceDE/>
              <w:autoSpaceDN/>
              <w:bidi w:val="0"/>
              <w:adjustRightInd/>
              <w:snapToGrid/>
              <w:spacing w:line="320" w:lineRule="exact"/>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2、提供实验室质量管理体系文件，提供实验室开展检验项目近一年度室内质控开展情况(提供具体质控数据)。</w:t>
            </w:r>
          </w:p>
          <w:p w14:paraId="747DFD12">
            <w:pPr>
              <w:keepNext w:val="0"/>
              <w:keepLines w:val="0"/>
              <w:pageBreakBefore w:val="0"/>
              <w:kinsoku/>
              <w:wordWrap/>
              <w:overflowPunct/>
              <w:topLinePunct w:val="0"/>
              <w:autoSpaceDE/>
              <w:autoSpaceDN/>
              <w:bidi w:val="0"/>
              <w:adjustRightInd/>
              <w:snapToGrid/>
              <w:spacing w:line="320" w:lineRule="exact"/>
              <w:ind w:firstLine="480" w:firstLineChars="200"/>
              <w:jc w:val="left"/>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投标人保证实验室检侧仪器具有三证(医疗器械产品注册证、医疗器械生产企业许可证、医疗器械经营企业许可证)，所用检测试剂具有三证(生产许可证、医疗器械注册证或国食药准字号、经营许可证)。投标人提供承诺函及以上检测设备不少于5台，检测试剂不少于5种采购的权属证明及生产厂家资质证明。</w:t>
            </w:r>
          </w:p>
          <w:p w14:paraId="5372931C">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outlineLvl w:val="2"/>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三</w:t>
            </w:r>
            <w:r>
              <w:rPr>
                <w:rFonts w:hint="eastAsia" w:ascii="仿宋" w:hAnsi="仿宋" w:eastAsia="仿宋" w:cs="仿宋"/>
                <w:color w:val="auto"/>
                <w:sz w:val="24"/>
                <w:szCs w:val="24"/>
              </w:rPr>
              <w:t>)服务要求</w:t>
            </w:r>
          </w:p>
          <w:p w14:paraId="6E639124">
            <w:pPr>
              <w:keepNext w:val="0"/>
              <w:keepLines w:val="0"/>
              <w:pageBreakBefore w:val="0"/>
              <w:kinsoku/>
              <w:wordWrap/>
              <w:overflowPunct/>
              <w:topLinePunct w:val="0"/>
              <w:autoSpaceDE/>
              <w:autoSpaceDN/>
              <w:bidi w:val="0"/>
              <w:adjustRightInd/>
              <w:snapToGrid/>
              <w:spacing w:line="320" w:lineRule="exact"/>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1、人员要求：供应商针对本项目安排</w:t>
            </w:r>
            <w:r>
              <w:rPr>
                <w:rFonts w:hint="eastAsia" w:ascii="仿宋" w:hAnsi="仿宋" w:eastAsia="仿宋" w:cs="仿宋"/>
                <w:color w:val="auto"/>
                <w:sz w:val="24"/>
                <w:szCs w:val="24"/>
                <w:lang w:val="en-US" w:eastAsia="zh-CN"/>
              </w:rPr>
              <w:t>专职</w:t>
            </w:r>
            <w:r>
              <w:rPr>
                <w:rFonts w:hint="eastAsia" w:ascii="仿宋" w:hAnsi="仿宋" w:eastAsia="仿宋" w:cs="仿宋"/>
                <w:color w:val="auto"/>
                <w:sz w:val="24"/>
                <w:szCs w:val="24"/>
              </w:rPr>
              <w:t>服务人员，负责基因样本的收集外送及相关外送项目与医患的沟通等相关工作。</w:t>
            </w:r>
          </w:p>
          <w:p w14:paraId="2C54A4B8">
            <w:pPr>
              <w:keepNext w:val="0"/>
              <w:keepLines w:val="0"/>
              <w:pageBreakBefore w:val="0"/>
              <w:kinsoku/>
              <w:wordWrap/>
              <w:overflowPunct/>
              <w:topLinePunct w:val="0"/>
              <w:autoSpaceDE/>
              <w:autoSpaceDN/>
              <w:bidi w:val="0"/>
              <w:adjustRightInd/>
              <w:snapToGrid/>
              <w:spacing w:line="320" w:lineRule="exact"/>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2、能随时根据采购人需要提供实时临床会诊支持。</w:t>
            </w:r>
          </w:p>
          <w:p w14:paraId="69D8E871">
            <w:pPr>
              <w:keepNext w:val="0"/>
              <w:keepLines w:val="0"/>
              <w:pageBreakBefore w:val="0"/>
              <w:kinsoku/>
              <w:wordWrap/>
              <w:overflowPunct/>
              <w:topLinePunct w:val="0"/>
              <w:autoSpaceDE/>
              <w:autoSpaceDN/>
              <w:bidi w:val="0"/>
              <w:adjustRightInd/>
              <w:snapToGrid/>
              <w:spacing w:line="320" w:lineRule="exact"/>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3、能随时根据采购人需要提供现场指导服务。</w:t>
            </w:r>
          </w:p>
          <w:p w14:paraId="3EEA34BE">
            <w:pPr>
              <w:keepNext w:val="0"/>
              <w:keepLines w:val="0"/>
              <w:pageBreakBefore w:val="0"/>
              <w:kinsoku/>
              <w:wordWrap/>
              <w:overflowPunct/>
              <w:topLinePunct w:val="0"/>
              <w:autoSpaceDE/>
              <w:autoSpaceDN/>
              <w:bidi w:val="0"/>
              <w:adjustRightInd/>
              <w:snapToGrid/>
              <w:spacing w:line="320" w:lineRule="exact"/>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4、标本接收、送检及检验</w:t>
            </w:r>
          </w:p>
          <w:p w14:paraId="63C4AE93">
            <w:pPr>
              <w:keepNext w:val="0"/>
              <w:keepLines w:val="0"/>
              <w:pageBreakBefore w:val="0"/>
              <w:kinsoku/>
              <w:wordWrap/>
              <w:overflowPunct/>
              <w:topLinePunct w:val="0"/>
              <w:autoSpaceDE/>
              <w:autoSpaceDN/>
              <w:bidi w:val="0"/>
              <w:adjustRightInd/>
              <w:snapToGrid/>
              <w:spacing w:line="320" w:lineRule="exact"/>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(1)供应商具有专属标本转运冷链物流团队，有实时的冷链物流和转运样本位置监控，负责样本采集、保存、物流安全保障。承担标本运输符合国家法规和生物安全管理的责任。(需提供相关证明文件复印件)。</w:t>
            </w:r>
          </w:p>
          <w:p w14:paraId="6869A2B5">
            <w:pPr>
              <w:keepNext w:val="0"/>
              <w:keepLines w:val="0"/>
              <w:pageBreakBefore w:val="0"/>
              <w:kinsoku/>
              <w:wordWrap/>
              <w:overflowPunct/>
              <w:topLinePunct w:val="0"/>
              <w:autoSpaceDE/>
              <w:autoSpaceDN/>
              <w:bidi w:val="0"/>
              <w:adjustRightInd/>
              <w:snapToGrid/>
              <w:spacing w:line="320" w:lineRule="exact"/>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(2)冷链物流设备必须有相应的温度记录表，保证标本的质量：专线运送。</w:t>
            </w:r>
          </w:p>
          <w:p w14:paraId="7609C8C9">
            <w:pPr>
              <w:keepNext w:val="0"/>
              <w:keepLines w:val="0"/>
              <w:pageBreakBefore w:val="0"/>
              <w:kinsoku/>
              <w:wordWrap/>
              <w:overflowPunct/>
              <w:topLinePunct w:val="0"/>
              <w:autoSpaceDE/>
              <w:autoSpaceDN/>
              <w:bidi w:val="0"/>
              <w:adjustRightInd/>
              <w:snapToGrid/>
              <w:spacing w:line="320" w:lineRule="exact"/>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(3)周一至周六每天至少提供一次专职物流人员上门收取委托外送基因样本服务(重大节日：春节、国庆节、五一劳动节，上门收样频率和时间双方可另行约定)</w:t>
            </w:r>
          </w:p>
          <w:p w14:paraId="3CB8006E">
            <w:pPr>
              <w:keepNext w:val="0"/>
              <w:keepLines w:val="0"/>
              <w:pageBreakBefore w:val="0"/>
              <w:kinsoku/>
              <w:wordWrap/>
              <w:overflowPunct/>
              <w:topLinePunct w:val="0"/>
              <w:autoSpaceDE/>
              <w:autoSpaceDN/>
              <w:bidi w:val="0"/>
              <w:adjustRightInd/>
              <w:snapToGrid/>
              <w:spacing w:line="320" w:lineRule="exact"/>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)具有规范标本接收、登记和包装流程，保证标本质量和安全，确保标本顺利交接，方便查核。</w:t>
            </w:r>
          </w:p>
          <w:p w14:paraId="2BBDE742">
            <w:pPr>
              <w:keepNext w:val="0"/>
              <w:keepLines w:val="0"/>
              <w:pageBreakBefore w:val="0"/>
              <w:kinsoku/>
              <w:wordWrap/>
              <w:overflowPunct/>
              <w:topLinePunct w:val="0"/>
              <w:autoSpaceDE/>
              <w:autoSpaceDN/>
              <w:bidi w:val="0"/>
              <w:adjustRightInd/>
              <w:snapToGrid/>
              <w:spacing w:line="320" w:lineRule="exact"/>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)标本接收人员负责标本质量的初检、标识的核对，标本的接收登记及包装储存。</w:t>
            </w:r>
          </w:p>
          <w:p w14:paraId="01E980BA">
            <w:pPr>
              <w:keepNext w:val="0"/>
              <w:keepLines w:val="0"/>
              <w:pageBreakBefore w:val="0"/>
              <w:kinsoku/>
              <w:wordWrap/>
              <w:overflowPunct/>
              <w:topLinePunct w:val="0"/>
              <w:autoSpaceDE/>
              <w:autoSpaceDN/>
              <w:bidi w:val="0"/>
              <w:adjustRightInd/>
              <w:snapToGrid/>
              <w:spacing w:line="320" w:lineRule="exact"/>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)必须确保及时接收、送检标本和及时检验。标本不符合检验要求时，应及时通知采购人重新取样。</w:t>
            </w:r>
          </w:p>
          <w:p w14:paraId="4BDC3754">
            <w:pPr>
              <w:keepNext w:val="0"/>
              <w:keepLines w:val="0"/>
              <w:pageBreakBefore w:val="0"/>
              <w:kinsoku/>
              <w:wordWrap/>
              <w:overflowPunct/>
              <w:topLinePunct w:val="0"/>
              <w:autoSpaceDE/>
              <w:autoSpaceDN/>
              <w:bidi w:val="0"/>
              <w:adjustRightInd/>
              <w:snapToGrid/>
              <w:spacing w:line="320" w:lineRule="exact"/>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rPr>
              <w:t>)保证检验结果及时准确。如标本在送检过程中出现延迟、遗漏、丢失等情况，或者报告结果延误、错误引起的医疗纠纷等不良后果，由供应商承担责任。</w:t>
            </w:r>
          </w:p>
          <w:p w14:paraId="31EA4715">
            <w:pPr>
              <w:keepNext w:val="0"/>
              <w:keepLines w:val="0"/>
              <w:pageBreakBefore w:val="0"/>
              <w:kinsoku/>
              <w:wordWrap/>
              <w:overflowPunct/>
              <w:topLinePunct w:val="0"/>
              <w:autoSpaceDE/>
              <w:autoSpaceDN/>
              <w:bidi w:val="0"/>
              <w:adjustRightInd/>
              <w:snapToGrid/>
              <w:spacing w:line="320" w:lineRule="exact"/>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8</w:t>
            </w:r>
            <w:r>
              <w:rPr>
                <w:rFonts w:hint="eastAsia" w:ascii="仿宋" w:hAnsi="仿宋" w:eastAsia="仿宋" w:cs="仿宋"/>
                <w:color w:val="auto"/>
                <w:sz w:val="24"/>
                <w:szCs w:val="24"/>
              </w:rPr>
              <w:t>)检验报告单必须由具备相应资质的检验人员签发。</w:t>
            </w:r>
          </w:p>
          <w:p w14:paraId="2AE97578">
            <w:pPr>
              <w:keepNext w:val="0"/>
              <w:keepLines w:val="0"/>
              <w:pageBreakBefore w:val="0"/>
              <w:kinsoku/>
              <w:wordWrap/>
              <w:overflowPunct/>
              <w:topLinePunct w:val="0"/>
              <w:autoSpaceDE/>
              <w:autoSpaceDN/>
              <w:bidi w:val="0"/>
              <w:adjustRightInd/>
              <w:snapToGrid/>
              <w:spacing w:line="320" w:lineRule="exact"/>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9</w:t>
            </w:r>
            <w:r>
              <w:rPr>
                <w:rFonts w:hint="eastAsia" w:ascii="仿宋" w:hAnsi="仿宋" w:eastAsia="仿宋" w:cs="仿宋"/>
                <w:color w:val="auto"/>
                <w:sz w:val="24"/>
                <w:szCs w:val="24"/>
              </w:rPr>
              <w:t>)保证在12小时内对用户提出的问题或故障予以响应及处理。</w:t>
            </w:r>
          </w:p>
          <w:p w14:paraId="2F9CA9EB">
            <w:pPr>
              <w:keepNext w:val="0"/>
              <w:keepLines w:val="0"/>
              <w:pageBreakBefore w:val="0"/>
              <w:kinsoku/>
              <w:wordWrap/>
              <w:overflowPunct/>
              <w:topLinePunct w:val="0"/>
              <w:autoSpaceDE/>
              <w:autoSpaceDN/>
              <w:bidi w:val="0"/>
              <w:adjustRightInd/>
              <w:snapToGrid/>
              <w:spacing w:line="320" w:lineRule="exact"/>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10</w:t>
            </w:r>
            <w:r>
              <w:rPr>
                <w:rFonts w:hint="eastAsia" w:ascii="仿宋" w:hAnsi="仿宋" w:eastAsia="仿宋" w:cs="仿宋"/>
                <w:color w:val="auto"/>
                <w:sz w:val="24"/>
                <w:szCs w:val="24"/>
              </w:rPr>
              <w:t>)为保证投标人具备提供服务的真实性，请在投标文件中提供下文附件</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检测项目中检测内容对应的彩页及检测报告模板。</w:t>
            </w:r>
          </w:p>
          <w:p w14:paraId="639E9A8B">
            <w:pPr>
              <w:keepNext w:val="0"/>
              <w:keepLines w:val="0"/>
              <w:pageBreakBefore w:val="0"/>
              <w:kinsoku/>
              <w:wordWrap/>
              <w:overflowPunct/>
              <w:topLinePunct w:val="0"/>
              <w:autoSpaceDE/>
              <w:autoSpaceDN/>
              <w:bidi w:val="0"/>
              <w:adjustRightInd/>
              <w:snapToGrid/>
              <w:spacing w:line="320" w:lineRule="exact"/>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、结果查询</w:t>
            </w:r>
          </w:p>
          <w:p w14:paraId="511C61DA">
            <w:pPr>
              <w:keepNext w:val="0"/>
              <w:keepLines w:val="0"/>
              <w:pageBreakBefore w:val="0"/>
              <w:kinsoku/>
              <w:wordWrap/>
              <w:overflowPunct/>
              <w:topLinePunct w:val="0"/>
              <w:autoSpaceDE/>
              <w:autoSpaceDN/>
              <w:bidi w:val="0"/>
              <w:adjustRightInd/>
              <w:snapToGrid/>
              <w:spacing w:line="32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(1)为保证检验结果实时网络传送，实现实验室数据的汇总、储存、传输功能，与医院LIS和HIS系统对接，若系统对接需产生费用，则由中标人承担。</w:t>
            </w:r>
          </w:p>
          <w:p w14:paraId="3FF72FD4">
            <w:pPr>
              <w:keepNext w:val="0"/>
              <w:keepLines w:val="0"/>
              <w:pageBreakBefore w:val="0"/>
              <w:kinsoku/>
              <w:wordWrap/>
              <w:overflowPunct/>
              <w:topLinePunct w:val="0"/>
              <w:autoSpaceDE/>
              <w:autoSpaceDN/>
              <w:bidi w:val="0"/>
              <w:adjustRightInd/>
              <w:snapToGrid/>
              <w:spacing w:line="32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(2)提供网上查询服务，以供随时查询进度和结果。</w:t>
            </w:r>
          </w:p>
          <w:p w14:paraId="3180D172">
            <w:pPr>
              <w:keepNext w:val="0"/>
              <w:keepLines w:val="0"/>
              <w:pageBreakBefore w:val="0"/>
              <w:kinsoku/>
              <w:wordWrap/>
              <w:overflowPunct/>
              <w:topLinePunct w:val="0"/>
              <w:autoSpaceDE/>
              <w:autoSpaceDN/>
              <w:bidi w:val="0"/>
              <w:adjustRightInd/>
              <w:snapToGrid/>
              <w:spacing w:line="32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(3)咨询服务：成交供应商需提供服务电话供采购人进行业务咨询、报告查询等功能</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确保患者检测信息与临床医生的畅通。</w:t>
            </w:r>
          </w:p>
          <w:p w14:paraId="1A6E3F6E">
            <w:pPr>
              <w:keepNext w:val="0"/>
              <w:keepLines w:val="0"/>
              <w:pageBreakBefore w:val="0"/>
              <w:kinsoku/>
              <w:wordWrap/>
              <w:overflowPunct/>
              <w:topLinePunct w:val="0"/>
              <w:autoSpaceDE/>
              <w:autoSpaceDN/>
              <w:bidi w:val="0"/>
              <w:adjustRightInd/>
              <w:snapToGrid/>
              <w:spacing w:line="32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(4)医务人员可以随时调阅检验结果，投标人须保证病人的资料的准确性和检验结果的及时性，并提供系统使用的必要培训与技术支持。</w:t>
            </w:r>
          </w:p>
          <w:p w14:paraId="1A3DBADE">
            <w:pPr>
              <w:keepNext w:val="0"/>
              <w:keepLines w:val="0"/>
              <w:pageBreakBefore w:val="0"/>
              <w:kinsoku/>
              <w:wordWrap/>
              <w:overflowPunct/>
              <w:topLinePunct w:val="0"/>
              <w:autoSpaceDE/>
              <w:autoSpaceDN/>
              <w:bidi w:val="0"/>
              <w:adjustRightInd/>
              <w:snapToGrid/>
              <w:spacing w:line="32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(5)按照检测项目报告时间提供检测结果。</w:t>
            </w:r>
          </w:p>
          <w:p w14:paraId="3F38A90E">
            <w:pPr>
              <w:keepNext w:val="0"/>
              <w:keepLines w:val="0"/>
              <w:pageBreakBefore w:val="0"/>
              <w:kinsoku/>
              <w:wordWrap/>
              <w:overflowPunct/>
              <w:topLinePunct w:val="0"/>
              <w:autoSpaceDE/>
              <w:autoSpaceDN/>
              <w:bidi w:val="0"/>
              <w:adjustRightInd/>
              <w:snapToGrid/>
              <w:spacing w:line="32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免费为医院对接院内信息系统，免费提供信息系统对接所需的软件等必需的材料。</w:t>
            </w:r>
          </w:p>
          <w:p w14:paraId="5783E4CA">
            <w:pPr>
              <w:keepNext w:val="0"/>
              <w:keepLines w:val="0"/>
              <w:pageBreakBefore w:val="0"/>
              <w:kinsoku/>
              <w:wordWrap/>
              <w:overflowPunct/>
              <w:topLinePunct w:val="0"/>
              <w:autoSpaceDE/>
              <w:autoSpaceDN/>
              <w:bidi w:val="0"/>
              <w:adjustRightInd/>
              <w:snapToGrid/>
              <w:spacing w:line="320" w:lineRule="exact"/>
              <w:ind w:firstLine="480" w:firstLineChars="20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投标人通过由公安部门颁发的3级及以上信息系统安全等级保护备案</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提供相关证明材料</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(需提供公安机关颁发的信息系统安全等级保护备案证明文件复印件并加盖投标人公章</w:t>
            </w:r>
            <w:r>
              <w:rPr>
                <w:rFonts w:hint="eastAsia" w:ascii="仿宋" w:hAnsi="仿宋" w:eastAsia="仿宋" w:cs="仿宋"/>
                <w:color w:val="auto"/>
                <w:sz w:val="24"/>
                <w:szCs w:val="24"/>
                <w:highlight w:val="none"/>
                <w:lang w:eastAsia="zh-CN"/>
              </w:rPr>
              <w:t>）</w:t>
            </w:r>
          </w:p>
          <w:p w14:paraId="6980A896">
            <w:pPr>
              <w:keepNext w:val="0"/>
              <w:keepLines w:val="0"/>
              <w:pageBreakBefore w:val="0"/>
              <w:kinsoku/>
              <w:wordWrap/>
              <w:overflowPunct/>
              <w:topLinePunct w:val="0"/>
              <w:autoSpaceDE/>
              <w:autoSpaceDN/>
              <w:bidi w:val="0"/>
              <w:adjustRightInd/>
              <w:snapToGrid/>
              <w:spacing w:line="320" w:lineRule="exact"/>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8、</w:t>
            </w:r>
            <w:r>
              <w:rPr>
                <w:rFonts w:hint="eastAsia" w:ascii="仿宋" w:hAnsi="仿宋" w:eastAsia="仿宋" w:cs="仿宋"/>
                <w:color w:val="auto"/>
                <w:sz w:val="24"/>
                <w:szCs w:val="24"/>
              </w:rPr>
              <w:t>遵守保密原则，在未经我院书面同意或授权的前提下，不得向</w:t>
            </w:r>
            <w:r>
              <w:rPr>
                <w:rFonts w:hint="eastAsia" w:ascii="仿宋" w:hAnsi="仿宋" w:eastAsia="仿宋" w:cs="仿宋"/>
                <w:color w:val="auto"/>
                <w:sz w:val="24"/>
                <w:szCs w:val="24"/>
                <w:lang w:val="en-US" w:eastAsia="zh-CN"/>
              </w:rPr>
              <w:t>医院</w:t>
            </w:r>
            <w:r>
              <w:rPr>
                <w:rFonts w:hint="eastAsia" w:ascii="仿宋" w:hAnsi="仿宋" w:eastAsia="仿宋" w:cs="仿宋"/>
                <w:color w:val="auto"/>
                <w:sz w:val="24"/>
                <w:szCs w:val="24"/>
              </w:rPr>
              <w:t>工作人员外的任何单位或个人泄露委托检测的项目、检测的内容、检测的结果。</w:t>
            </w:r>
          </w:p>
          <w:p w14:paraId="1CEEC603">
            <w:pPr>
              <w:keepNext w:val="0"/>
              <w:keepLines w:val="0"/>
              <w:pageBreakBefore w:val="0"/>
              <w:kinsoku/>
              <w:wordWrap/>
              <w:overflowPunct/>
              <w:topLinePunct w:val="0"/>
              <w:autoSpaceDE/>
              <w:autoSpaceDN/>
              <w:bidi w:val="0"/>
              <w:adjustRightInd/>
              <w:snapToGrid/>
              <w:spacing w:line="320" w:lineRule="exact"/>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9、</w:t>
            </w:r>
            <w:r>
              <w:rPr>
                <w:rFonts w:hint="eastAsia" w:ascii="仿宋" w:hAnsi="仿宋" w:eastAsia="仿宋" w:cs="仿宋"/>
                <w:color w:val="auto"/>
                <w:sz w:val="24"/>
                <w:szCs w:val="24"/>
              </w:rPr>
              <w:t>本项目所有外送标本凡涉及人类遗传资源材料和人类遗传资源信息的应当遵守《中华人民共和国人类遗传资源管理条例》，如有违反，依照相关法律、行政法规规定执行。</w:t>
            </w:r>
          </w:p>
          <w:p w14:paraId="303F52A3">
            <w:pPr>
              <w:keepNext w:val="0"/>
              <w:keepLines w:val="0"/>
              <w:pageBreakBefore w:val="0"/>
              <w:kinsoku/>
              <w:wordWrap/>
              <w:overflowPunct/>
              <w:topLinePunct w:val="0"/>
              <w:autoSpaceDE/>
              <w:autoSpaceDN/>
              <w:bidi w:val="0"/>
              <w:adjustRightInd/>
              <w:snapToGrid/>
              <w:spacing w:line="320" w:lineRule="exact"/>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0</w:t>
            </w:r>
            <w:r>
              <w:rPr>
                <w:rFonts w:hint="eastAsia" w:ascii="仿宋" w:hAnsi="仿宋" w:eastAsia="仿宋" w:cs="仿宋"/>
                <w:color w:val="auto"/>
                <w:sz w:val="24"/>
                <w:szCs w:val="24"/>
              </w:rPr>
              <w:t>、协助设计、制作</w:t>
            </w:r>
            <w:r>
              <w:rPr>
                <w:rFonts w:hint="eastAsia" w:ascii="仿宋" w:hAnsi="仿宋" w:eastAsia="仿宋" w:cs="仿宋"/>
                <w:color w:val="auto"/>
                <w:sz w:val="24"/>
                <w:szCs w:val="24"/>
                <w:lang w:val="en-US" w:eastAsia="zh-CN"/>
              </w:rPr>
              <w:t>体检中心</w:t>
            </w:r>
            <w:r>
              <w:rPr>
                <w:rFonts w:hint="eastAsia" w:ascii="仿宋" w:hAnsi="仿宋" w:eastAsia="仿宋" w:cs="仿宋"/>
                <w:color w:val="auto"/>
                <w:sz w:val="24"/>
                <w:szCs w:val="24"/>
              </w:rPr>
              <w:t>相关</w:t>
            </w:r>
            <w:r>
              <w:rPr>
                <w:rFonts w:hint="eastAsia" w:ascii="仿宋" w:hAnsi="仿宋" w:eastAsia="仿宋" w:cs="仿宋"/>
                <w:color w:val="auto"/>
                <w:sz w:val="24"/>
                <w:szCs w:val="24"/>
                <w:lang w:val="en-US" w:eastAsia="zh-CN"/>
              </w:rPr>
              <w:t>基因检测</w:t>
            </w:r>
            <w:r>
              <w:rPr>
                <w:rFonts w:hint="eastAsia" w:ascii="仿宋" w:hAnsi="仿宋" w:eastAsia="仿宋" w:cs="仿宋"/>
                <w:color w:val="auto"/>
                <w:sz w:val="24"/>
                <w:szCs w:val="24"/>
              </w:rPr>
              <w:t>项目的宣传资料。</w:t>
            </w:r>
          </w:p>
          <w:p w14:paraId="4BB89E29">
            <w:pPr>
              <w:keepNext w:val="0"/>
              <w:keepLines w:val="0"/>
              <w:pageBreakBefore w:val="0"/>
              <w:kinsoku/>
              <w:wordWrap/>
              <w:overflowPunct/>
              <w:topLinePunct w:val="0"/>
              <w:autoSpaceDE/>
              <w:autoSpaceDN/>
              <w:bidi w:val="0"/>
              <w:adjustRightInd/>
              <w:snapToGrid/>
              <w:spacing w:line="320" w:lineRule="exact"/>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、项目检测清单：详见附件1。</w:t>
            </w:r>
          </w:p>
          <w:p w14:paraId="7CF7D74B">
            <w:pPr>
              <w:keepNext w:val="0"/>
              <w:keepLines w:val="0"/>
              <w:pageBreakBefore w:val="0"/>
              <w:kinsoku/>
              <w:wordWrap/>
              <w:overflowPunct/>
              <w:topLinePunct w:val="0"/>
              <w:autoSpaceDE/>
              <w:autoSpaceDN/>
              <w:bidi w:val="0"/>
              <w:adjustRightInd/>
              <w:snapToGrid/>
              <w:spacing w:line="320" w:lineRule="exact"/>
              <w:jc w:val="left"/>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商务要求</w:t>
            </w:r>
          </w:p>
          <w:p w14:paraId="7601D26C">
            <w:pPr>
              <w:keepNext w:val="0"/>
              <w:keepLines w:val="0"/>
              <w:pageBreakBefore w:val="0"/>
              <w:kinsoku/>
              <w:wordWrap/>
              <w:overflowPunct/>
              <w:topLinePunct w:val="0"/>
              <w:autoSpaceDE/>
              <w:autoSpaceDN/>
              <w:bidi w:val="0"/>
              <w:adjustRightInd/>
              <w:snapToGrid/>
              <w:spacing w:line="320" w:lineRule="exact"/>
              <w:ind w:firstLine="480" w:firstLineChars="20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1、服务期限：1年</w:t>
            </w:r>
          </w:p>
          <w:p w14:paraId="4B87AFF0">
            <w:pPr>
              <w:keepNext w:val="0"/>
              <w:keepLines w:val="0"/>
              <w:pageBreakBefore w:val="0"/>
              <w:kinsoku/>
              <w:wordWrap/>
              <w:overflowPunct/>
              <w:topLinePunct w:val="0"/>
              <w:autoSpaceDE/>
              <w:autoSpaceDN/>
              <w:bidi w:val="0"/>
              <w:adjustRightInd/>
              <w:snapToGrid/>
              <w:spacing w:line="320" w:lineRule="exact"/>
              <w:ind w:firstLine="480" w:firstLineChars="200"/>
              <w:jc w:val="left"/>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2、付款方式：按月据实结算</w:t>
            </w:r>
          </w:p>
          <w:p w14:paraId="2D531EF6">
            <w:pPr>
              <w:keepNext w:val="0"/>
              <w:keepLines w:val="0"/>
              <w:pageBreakBefore w:val="0"/>
              <w:kinsoku/>
              <w:wordWrap/>
              <w:overflowPunct/>
              <w:topLinePunct w:val="0"/>
              <w:autoSpaceDE/>
              <w:autoSpaceDN/>
              <w:bidi w:val="0"/>
              <w:adjustRightInd/>
              <w:snapToGrid/>
              <w:spacing w:line="320" w:lineRule="exact"/>
              <w:ind w:firstLine="480" w:firstLineChars="200"/>
              <w:jc w:val="left"/>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w:t>
            </w:r>
            <w:r>
              <w:rPr>
                <w:rFonts w:hint="default" w:ascii="仿宋" w:hAnsi="仿宋" w:eastAsia="仿宋" w:cs="仿宋"/>
                <w:color w:val="auto"/>
                <w:sz w:val="24"/>
                <w:szCs w:val="24"/>
                <w:lang w:val="en-US" w:eastAsia="zh-CN"/>
              </w:rPr>
              <w:t>、投标报价</w:t>
            </w:r>
          </w:p>
          <w:p w14:paraId="5BD73356">
            <w:pPr>
              <w:keepNext w:val="0"/>
              <w:keepLines w:val="0"/>
              <w:pageBreakBefore w:val="0"/>
              <w:kinsoku/>
              <w:wordWrap/>
              <w:overflowPunct/>
              <w:topLinePunct w:val="0"/>
              <w:autoSpaceDE/>
              <w:autoSpaceDN/>
              <w:bidi w:val="0"/>
              <w:adjustRightInd/>
              <w:snapToGrid/>
              <w:spacing w:line="320" w:lineRule="exact"/>
              <w:ind w:firstLine="480" w:firstLineChars="200"/>
              <w:jc w:val="left"/>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所有投标报价均以人民币元为计算单位。投标报价为完成本项目服务内容产生的所有费用的总和。（1）投标人以《驻马店市中医院体检中心外送检测项目控制价》标准为基础，进行百分比费率报价。（2）60%为最高限价，高于最高限价视为无效报价，按无效标处理。</w:t>
            </w:r>
          </w:p>
          <w:p w14:paraId="48362498">
            <w:pPr>
              <w:pStyle w:val="10"/>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firstLine="480" w:firstLineChars="200"/>
              <w:jc w:val="left"/>
              <w:textAlignment w:val="baseline"/>
              <w:rPr>
                <w:rFonts w:hint="eastAsia" w:ascii="宋体" w:hAnsi="宋体" w:eastAsia="宋体" w:cs="宋体"/>
                <w:color w:val="FF0000"/>
                <w:sz w:val="24"/>
                <w:szCs w:val="24"/>
                <w:lang w:val="en-US" w:eastAsia="zh-CN"/>
              </w:rPr>
            </w:pPr>
          </w:p>
        </w:tc>
      </w:tr>
    </w:tbl>
    <w:p w14:paraId="0FBC5243">
      <w:pPr>
        <w:spacing w:line="14" w:lineRule="auto"/>
        <w:rPr>
          <w:rFonts w:ascii="Arial"/>
          <w:sz w:val="2"/>
        </w:rPr>
      </w:pPr>
    </w:p>
    <w:p w14:paraId="680F5C66">
      <w:pPr>
        <w:pStyle w:val="2"/>
        <w:rPr>
          <w:rFonts w:ascii="Arial"/>
          <w:sz w:val="2"/>
        </w:rPr>
      </w:pPr>
    </w:p>
    <w:p w14:paraId="6E8FB8E5">
      <w:pPr>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br w:type="page"/>
      </w:r>
    </w:p>
    <w:tbl>
      <w:tblPr>
        <w:tblStyle w:val="6"/>
        <w:tblW w:w="5000" w:type="pct"/>
        <w:tblInd w:w="0" w:type="dxa"/>
        <w:tblLayout w:type="fixed"/>
        <w:tblCellMar>
          <w:top w:w="0" w:type="dxa"/>
          <w:left w:w="108" w:type="dxa"/>
          <w:bottom w:w="0" w:type="dxa"/>
          <w:right w:w="108" w:type="dxa"/>
        </w:tblCellMar>
      </w:tblPr>
      <w:tblGrid>
        <w:gridCol w:w="779"/>
        <w:gridCol w:w="3817"/>
        <w:gridCol w:w="847"/>
        <w:gridCol w:w="976"/>
        <w:gridCol w:w="773"/>
        <w:gridCol w:w="1334"/>
      </w:tblGrid>
      <w:tr w14:paraId="2E5FE7A6">
        <w:tblPrEx>
          <w:tblCellMar>
            <w:top w:w="0" w:type="dxa"/>
            <w:left w:w="108" w:type="dxa"/>
            <w:bottom w:w="0" w:type="dxa"/>
            <w:right w:w="108" w:type="dxa"/>
          </w:tblCellMar>
        </w:tblPrEx>
        <w:trPr>
          <w:trHeight w:val="1140" w:hRule="atLeast"/>
        </w:trPr>
        <w:tc>
          <w:tcPr>
            <w:tcW w:w="5000" w:type="pct"/>
            <w:gridSpan w:val="6"/>
            <w:tcBorders>
              <w:top w:val="nil"/>
              <w:left w:val="nil"/>
              <w:bottom w:val="nil"/>
              <w:right w:val="nil"/>
            </w:tcBorders>
            <w:noWrap/>
            <w:vAlign w:val="center"/>
          </w:tcPr>
          <w:p w14:paraId="7AF39557">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附件1</w:t>
            </w:r>
          </w:p>
          <w:p w14:paraId="58F8E1E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bidi="ar"/>
              </w:rPr>
              <w:t>体检中心基因检测外送项目明细</w:t>
            </w:r>
          </w:p>
        </w:tc>
      </w:tr>
      <w:tr w14:paraId="3D87A776">
        <w:tblPrEx>
          <w:tblCellMar>
            <w:top w:w="0" w:type="dxa"/>
            <w:left w:w="108" w:type="dxa"/>
            <w:bottom w:w="0" w:type="dxa"/>
            <w:right w:w="108" w:type="dxa"/>
          </w:tblCellMar>
        </w:tblPrEx>
        <w:trPr>
          <w:trHeight w:val="560" w:hRule="atLeast"/>
        </w:trPr>
        <w:tc>
          <w:tcPr>
            <w:tcW w:w="457" w:type="pct"/>
            <w:tcBorders>
              <w:top w:val="single" w:color="000000" w:sz="4" w:space="0"/>
              <w:left w:val="single" w:color="000000" w:sz="4" w:space="0"/>
              <w:bottom w:val="single" w:color="000000" w:sz="4" w:space="0"/>
              <w:right w:val="single" w:color="000000" w:sz="4" w:space="0"/>
            </w:tcBorders>
            <w:noWrap/>
            <w:vAlign w:val="center"/>
          </w:tcPr>
          <w:p w14:paraId="1459EBA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组合名称</w:t>
            </w:r>
          </w:p>
        </w:tc>
        <w:tc>
          <w:tcPr>
            <w:tcW w:w="2238" w:type="pct"/>
            <w:tcBorders>
              <w:top w:val="single" w:color="000000" w:sz="4" w:space="0"/>
              <w:left w:val="single" w:color="000000" w:sz="4" w:space="0"/>
              <w:bottom w:val="single" w:color="000000" w:sz="4" w:space="0"/>
              <w:right w:val="single" w:color="000000" w:sz="4" w:space="0"/>
            </w:tcBorders>
            <w:noWrap/>
            <w:vAlign w:val="center"/>
          </w:tcPr>
          <w:p w14:paraId="44B3512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检测项目名称</w:t>
            </w:r>
          </w:p>
        </w:tc>
        <w:tc>
          <w:tcPr>
            <w:tcW w:w="496" w:type="pct"/>
            <w:tcBorders>
              <w:top w:val="single" w:color="000000" w:sz="4" w:space="0"/>
              <w:left w:val="single" w:color="000000" w:sz="4" w:space="0"/>
              <w:bottom w:val="single" w:color="000000" w:sz="4" w:space="0"/>
              <w:right w:val="single" w:color="000000" w:sz="4" w:space="0"/>
            </w:tcBorders>
            <w:noWrap/>
            <w:vAlign w:val="center"/>
          </w:tcPr>
          <w:p w14:paraId="4600FB6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方法学</w:t>
            </w:r>
          </w:p>
        </w:tc>
        <w:tc>
          <w:tcPr>
            <w:tcW w:w="572" w:type="pct"/>
            <w:tcBorders>
              <w:top w:val="single" w:color="000000" w:sz="4" w:space="0"/>
              <w:left w:val="single" w:color="000000" w:sz="4" w:space="0"/>
              <w:bottom w:val="single" w:color="000000" w:sz="4" w:space="0"/>
              <w:right w:val="single" w:color="000000" w:sz="4" w:space="0"/>
            </w:tcBorders>
            <w:noWrap/>
            <w:vAlign w:val="center"/>
          </w:tcPr>
          <w:p w14:paraId="5A2A738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出报告时间</w:t>
            </w:r>
          </w:p>
        </w:tc>
        <w:tc>
          <w:tcPr>
            <w:tcW w:w="453" w:type="pct"/>
            <w:tcBorders>
              <w:top w:val="single" w:color="000000" w:sz="4" w:space="0"/>
              <w:left w:val="single" w:color="000000" w:sz="4" w:space="0"/>
              <w:bottom w:val="single" w:color="000000" w:sz="4" w:space="0"/>
              <w:right w:val="single" w:color="000000" w:sz="4" w:space="0"/>
            </w:tcBorders>
            <w:noWrap/>
            <w:vAlign w:val="center"/>
          </w:tcPr>
          <w:p w14:paraId="0C8B356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价格</w:t>
            </w:r>
          </w:p>
        </w:tc>
        <w:tc>
          <w:tcPr>
            <w:tcW w:w="782" w:type="pct"/>
            <w:tcBorders>
              <w:top w:val="single" w:color="000000" w:sz="4" w:space="0"/>
              <w:left w:val="single" w:color="000000" w:sz="4" w:space="0"/>
              <w:bottom w:val="single" w:color="000000" w:sz="4" w:space="0"/>
              <w:right w:val="single" w:color="000000" w:sz="4" w:space="0"/>
            </w:tcBorders>
            <w:noWrap/>
            <w:vAlign w:val="center"/>
          </w:tcPr>
          <w:p w14:paraId="11AC870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备注</w:t>
            </w:r>
          </w:p>
        </w:tc>
      </w:tr>
      <w:tr w14:paraId="2B479D0B">
        <w:tblPrEx>
          <w:tblCellMar>
            <w:top w:w="0" w:type="dxa"/>
            <w:left w:w="108" w:type="dxa"/>
            <w:bottom w:w="0" w:type="dxa"/>
            <w:right w:w="108" w:type="dxa"/>
          </w:tblCellMar>
        </w:tblPrEx>
        <w:trPr>
          <w:trHeight w:val="560" w:hRule="atLeast"/>
        </w:trPr>
        <w:tc>
          <w:tcPr>
            <w:tcW w:w="457" w:type="pct"/>
            <w:vMerge w:val="restart"/>
            <w:tcBorders>
              <w:top w:val="single" w:color="000000" w:sz="4" w:space="0"/>
              <w:left w:val="single" w:color="000000" w:sz="4" w:space="0"/>
              <w:bottom w:val="single" w:color="000000" w:sz="4" w:space="0"/>
              <w:right w:val="single" w:color="000000" w:sz="4" w:space="0"/>
            </w:tcBorders>
            <w:noWrap/>
            <w:vAlign w:val="center"/>
          </w:tcPr>
          <w:p w14:paraId="63EA077C">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体检中心基因检测</w:t>
            </w:r>
          </w:p>
        </w:tc>
        <w:tc>
          <w:tcPr>
            <w:tcW w:w="2238" w:type="pct"/>
            <w:tcBorders>
              <w:top w:val="single" w:color="000000" w:sz="4" w:space="0"/>
              <w:left w:val="single" w:color="000000" w:sz="4" w:space="0"/>
              <w:bottom w:val="single" w:color="000000" w:sz="4" w:space="0"/>
              <w:right w:val="single" w:color="000000" w:sz="4" w:space="0"/>
            </w:tcBorders>
            <w:noWrap/>
            <w:vAlign w:val="center"/>
          </w:tcPr>
          <w:p w14:paraId="427636C2">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TP53抑癌基因检测（检测TP53基因的不少于4个关键位点）</w:t>
            </w:r>
          </w:p>
        </w:tc>
        <w:tc>
          <w:tcPr>
            <w:tcW w:w="496" w:type="pct"/>
            <w:tcBorders>
              <w:top w:val="single" w:color="000000" w:sz="4" w:space="0"/>
              <w:left w:val="single" w:color="000000" w:sz="4" w:space="0"/>
              <w:bottom w:val="single" w:color="000000" w:sz="4" w:space="0"/>
              <w:right w:val="single" w:color="000000" w:sz="4" w:space="0"/>
            </w:tcBorders>
            <w:noWrap/>
            <w:vAlign w:val="center"/>
          </w:tcPr>
          <w:p w14:paraId="0E5B889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PCR</w:t>
            </w:r>
          </w:p>
        </w:tc>
        <w:tc>
          <w:tcPr>
            <w:tcW w:w="572" w:type="pct"/>
            <w:tcBorders>
              <w:top w:val="single" w:color="000000" w:sz="4" w:space="0"/>
              <w:left w:val="single" w:color="000000" w:sz="4" w:space="0"/>
              <w:bottom w:val="single" w:color="000000" w:sz="4" w:space="0"/>
              <w:right w:val="single" w:color="000000" w:sz="4" w:space="0"/>
            </w:tcBorders>
            <w:noWrap/>
            <w:vAlign w:val="center"/>
          </w:tcPr>
          <w:p w14:paraId="74CC00C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9个工作日</w:t>
            </w:r>
          </w:p>
        </w:tc>
        <w:tc>
          <w:tcPr>
            <w:tcW w:w="453" w:type="pct"/>
            <w:tcBorders>
              <w:top w:val="single" w:color="000000" w:sz="4" w:space="0"/>
              <w:left w:val="single" w:color="000000" w:sz="4" w:space="0"/>
              <w:bottom w:val="single" w:color="000000" w:sz="4" w:space="0"/>
              <w:right w:val="single" w:color="000000" w:sz="4" w:space="0"/>
            </w:tcBorders>
            <w:noWrap/>
            <w:vAlign w:val="center"/>
          </w:tcPr>
          <w:p w14:paraId="063998C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440</w:t>
            </w:r>
          </w:p>
        </w:tc>
        <w:tc>
          <w:tcPr>
            <w:tcW w:w="782" w:type="pct"/>
            <w:tcBorders>
              <w:top w:val="single" w:color="000000" w:sz="4" w:space="0"/>
              <w:left w:val="single" w:color="000000" w:sz="4" w:space="0"/>
              <w:bottom w:val="single" w:color="000000" w:sz="4" w:space="0"/>
              <w:right w:val="single" w:color="000000" w:sz="4" w:space="0"/>
            </w:tcBorders>
            <w:noWrap/>
            <w:vAlign w:val="center"/>
          </w:tcPr>
          <w:p w14:paraId="6B664EE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270700004</w:t>
            </w:r>
            <w:r>
              <w:rPr>
                <w:rFonts w:hint="eastAsia" w:ascii="仿宋" w:hAnsi="仿宋" w:eastAsia="仿宋" w:cs="仿宋"/>
                <w:color w:val="auto"/>
                <w:kern w:val="0"/>
                <w:sz w:val="24"/>
                <w:szCs w:val="24"/>
                <w:lang w:bidi="ar"/>
              </w:rPr>
              <w:t>（</w:t>
            </w:r>
            <w:r>
              <w:rPr>
                <w:rFonts w:hint="eastAsia" w:ascii="仿宋" w:hAnsi="仿宋" w:eastAsia="仿宋" w:cs="仿宋"/>
                <w:color w:val="auto"/>
                <w:kern w:val="0"/>
                <w:sz w:val="24"/>
                <w:szCs w:val="24"/>
                <w:lang w:val="en-US" w:eastAsia="zh-CN" w:bidi="ar"/>
              </w:rPr>
              <w:t>110</w:t>
            </w:r>
            <w:r>
              <w:rPr>
                <w:rFonts w:hint="eastAsia" w:ascii="仿宋" w:hAnsi="仿宋" w:eastAsia="仿宋" w:cs="仿宋"/>
                <w:color w:val="auto"/>
                <w:kern w:val="0"/>
                <w:sz w:val="24"/>
                <w:szCs w:val="24"/>
                <w:lang w:bidi="ar"/>
              </w:rPr>
              <w:t>）*4</w:t>
            </w:r>
          </w:p>
        </w:tc>
      </w:tr>
      <w:tr w14:paraId="3DF8EBD0">
        <w:tblPrEx>
          <w:tblCellMar>
            <w:top w:w="0" w:type="dxa"/>
            <w:left w:w="108" w:type="dxa"/>
            <w:bottom w:w="0" w:type="dxa"/>
            <w:right w:w="108" w:type="dxa"/>
          </w:tblCellMar>
        </w:tblPrEx>
        <w:trPr>
          <w:trHeight w:val="680" w:hRule="atLeast"/>
        </w:trPr>
        <w:tc>
          <w:tcPr>
            <w:tcW w:w="457" w:type="pct"/>
            <w:vMerge w:val="continue"/>
            <w:tcBorders>
              <w:top w:val="single" w:color="000000" w:sz="4" w:space="0"/>
              <w:left w:val="single" w:color="000000" w:sz="4" w:space="0"/>
              <w:bottom w:val="single" w:color="000000" w:sz="4" w:space="0"/>
              <w:right w:val="single" w:color="000000" w:sz="4" w:space="0"/>
            </w:tcBorders>
            <w:noWrap/>
            <w:vAlign w:val="center"/>
          </w:tcPr>
          <w:p w14:paraId="067273FB">
            <w:pPr>
              <w:keepNext w:val="0"/>
              <w:keepLines w:val="0"/>
              <w:pageBreakBefore w:val="0"/>
              <w:kinsoku/>
              <w:wordWrap/>
              <w:overflowPunct/>
              <w:topLinePunct w:val="0"/>
              <w:autoSpaceDE/>
              <w:autoSpaceDN/>
              <w:bidi w:val="0"/>
              <w:adjustRightInd/>
              <w:snapToGrid/>
              <w:spacing w:line="360" w:lineRule="exact"/>
              <w:rPr>
                <w:rFonts w:hint="eastAsia" w:ascii="仿宋" w:hAnsi="仿宋" w:eastAsia="仿宋" w:cs="仿宋"/>
                <w:color w:val="auto"/>
                <w:sz w:val="24"/>
                <w:szCs w:val="24"/>
              </w:rPr>
            </w:pPr>
          </w:p>
        </w:tc>
        <w:tc>
          <w:tcPr>
            <w:tcW w:w="2238" w:type="pct"/>
            <w:tcBorders>
              <w:top w:val="single" w:color="000000" w:sz="4" w:space="0"/>
              <w:left w:val="single" w:color="000000" w:sz="4" w:space="0"/>
              <w:bottom w:val="single" w:color="000000" w:sz="4" w:space="0"/>
              <w:right w:val="single" w:color="000000" w:sz="4" w:space="0"/>
            </w:tcBorders>
            <w:vAlign w:val="center"/>
          </w:tcPr>
          <w:p w14:paraId="35944B14">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高发肿瘤基因检测套餐1（包括但不限于肺癌、肝癌、前列腺癌、乳腺癌、宫颈癌等）</w:t>
            </w:r>
          </w:p>
        </w:tc>
        <w:tc>
          <w:tcPr>
            <w:tcW w:w="496" w:type="pct"/>
            <w:tcBorders>
              <w:top w:val="single" w:color="000000" w:sz="4" w:space="0"/>
              <w:left w:val="single" w:color="000000" w:sz="4" w:space="0"/>
              <w:bottom w:val="single" w:color="000000" w:sz="4" w:space="0"/>
              <w:right w:val="single" w:color="000000" w:sz="4" w:space="0"/>
            </w:tcBorders>
            <w:noWrap/>
            <w:vAlign w:val="center"/>
          </w:tcPr>
          <w:p w14:paraId="4257D88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核酸质谱</w:t>
            </w:r>
          </w:p>
        </w:tc>
        <w:tc>
          <w:tcPr>
            <w:tcW w:w="572" w:type="pct"/>
            <w:tcBorders>
              <w:top w:val="single" w:color="000000" w:sz="4" w:space="0"/>
              <w:left w:val="single" w:color="000000" w:sz="4" w:space="0"/>
              <w:bottom w:val="single" w:color="000000" w:sz="4" w:space="0"/>
              <w:right w:val="single" w:color="000000" w:sz="4" w:space="0"/>
            </w:tcBorders>
            <w:noWrap/>
            <w:vAlign w:val="center"/>
          </w:tcPr>
          <w:p w14:paraId="6D5656B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11个工作日</w:t>
            </w:r>
          </w:p>
        </w:tc>
        <w:tc>
          <w:tcPr>
            <w:tcW w:w="453" w:type="pct"/>
            <w:tcBorders>
              <w:top w:val="single" w:color="000000" w:sz="4" w:space="0"/>
              <w:left w:val="single" w:color="000000" w:sz="4" w:space="0"/>
              <w:bottom w:val="single" w:color="000000" w:sz="4" w:space="0"/>
              <w:right w:val="single" w:color="000000" w:sz="4" w:space="0"/>
            </w:tcBorders>
            <w:noWrap/>
            <w:vAlign w:val="center"/>
          </w:tcPr>
          <w:p w14:paraId="0512645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770</w:t>
            </w:r>
          </w:p>
        </w:tc>
        <w:tc>
          <w:tcPr>
            <w:tcW w:w="782" w:type="pct"/>
            <w:tcBorders>
              <w:top w:val="single" w:color="000000" w:sz="4" w:space="0"/>
              <w:left w:val="single" w:color="000000" w:sz="4" w:space="0"/>
              <w:bottom w:val="single" w:color="000000" w:sz="4" w:space="0"/>
              <w:right w:val="single" w:color="000000" w:sz="4" w:space="0"/>
            </w:tcBorders>
            <w:noWrap/>
            <w:vAlign w:val="center"/>
          </w:tcPr>
          <w:p w14:paraId="760814F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仿宋"/>
                <w:color w:val="auto"/>
                <w:sz w:val="24"/>
                <w:szCs w:val="24"/>
                <w:lang w:eastAsia="zh-CN"/>
              </w:rPr>
            </w:pPr>
            <w:r>
              <w:rPr>
                <w:rFonts w:hint="eastAsia" w:ascii="仿宋" w:hAnsi="仿宋" w:eastAsia="仿宋" w:cs="仿宋"/>
                <w:color w:val="auto"/>
                <w:kern w:val="0"/>
                <w:sz w:val="24"/>
                <w:szCs w:val="24"/>
                <w:lang w:val="en-US" w:eastAsia="zh-CN" w:bidi="ar"/>
              </w:rPr>
              <w:t>270700004</w:t>
            </w:r>
            <w:r>
              <w:rPr>
                <w:rFonts w:hint="eastAsia" w:ascii="仿宋" w:hAnsi="仿宋" w:eastAsia="仿宋" w:cs="仿宋"/>
                <w:color w:val="auto"/>
                <w:kern w:val="0"/>
                <w:sz w:val="24"/>
                <w:szCs w:val="24"/>
                <w:lang w:bidi="ar"/>
              </w:rPr>
              <w:t>（</w:t>
            </w:r>
            <w:r>
              <w:rPr>
                <w:rFonts w:hint="eastAsia" w:ascii="仿宋" w:hAnsi="仿宋" w:eastAsia="仿宋" w:cs="仿宋"/>
                <w:color w:val="auto"/>
                <w:kern w:val="0"/>
                <w:sz w:val="24"/>
                <w:szCs w:val="24"/>
                <w:lang w:val="en-US" w:eastAsia="zh-CN" w:bidi="ar"/>
              </w:rPr>
              <w:t>110</w:t>
            </w:r>
            <w:r>
              <w:rPr>
                <w:rFonts w:hint="eastAsia" w:ascii="仿宋" w:hAnsi="仿宋" w:eastAsia="仿宋" w:cs="仿宋"/>
                <w:color w:val="auto"/>
                <w:kern w:val="0"/>
                <w:sz w:val="24"/>
                <w:szCs w:val="24"/>
                <w:lang w:bidi="ar"/>
              </w:rPr>
              <w:t>）*</w:t>
            </w:r>
            <w:r>
              <w:rPr>
                <w:rFonts w:hint="eastAsia" w:ascii="仿宋" w:hAnsi="仿宋" w:eastAsia="仿宋" w:cs="仿宋"/>
                <w:color w:val="auto"/>
                <w:kern w:val="0"/>
                <w:sz w:val="24"/>
                <w:szCs w:val="24"/>
                <w:lang w:val="en-US" w:eastAsia="zh-CN" w:bidi="ar"/>
              </w:rPr>
              <w:t>7</w:t>
            </w:r>
          </w:p>
        </w:tc>
      </w:tr>
      <w:tr w14:paraId="710EE51B">
        <w:tblPrEx>
          <w:tblCellMar>
            <w:top w:w="0" w:type="dxa"/>
            <w:left w:w="108" w:type="dxa"/>
            <w:bottom w:w="0" w:type="dxa"/>
            <w:right w:w="108" w:type="dxa"/>
          </w:tblCellMar>
        </w:tblPrEx>
        <w:trPr>
          <w:trHeight w:val="1560" w:hRule="atLeast"/>
        </w:trPr>
        <w:tc>
          <w:tcPr>
            <w:tcW w:w="457" w:type="pct"/>
            <w:vMerge w:val="continue"/>
            <w:tcBorders>
              <w:top w:val="single" w:color="000000" w:sz="4" w:space="0"/>
              <w:left w:val="single" w:color="000000" w:sz="4" w:space="0"/>
              <w:bottom w:val="single" w:color="000000" w:sz="4" w:space="0"/>
              <w:right w:val="single" w:color="000000" w:sz="4" w:space="0"/>
            </w:tcBorders>
            <w:noWrap/>
            <w:vAlign w:val="center"/>
          </w:tcPr>
          <w:p w14:paraId="60175A78">
            <w:pPr>
              <w:keepNext w:val="0"/>
              <w:keepLines w:val="0"/>
              <w:pageBreakBefore w:val="0"/>
              <w:kinsoku/>
              <w:wordWrap/>
              <w:overflowPunct/>
              <w:topLinePunct w:val="0"/>
              <w:autoSpaceDE/>
              <w:autoSpaceDN/>
              <w:bidi w:val="0"/>
              <w:adjustRightInd/>
              <w:snapToGrid/>
              <w:spacing w:line="360" w:lineRule="exact"/>
              <w:rPr>
                <w:rFonts w:hint="eastAsia" w:ascii="仿宋" w:hAnsi="仿宋" w:eastAsia="仿宋" w:cs="仿宋"/>
                <w:color w:val="auto"/>
                <w:sz w:val="24"/>
                <w:szCs w:val="24"/>
              </w:rPr>
            </w:pPr>
          </w:p>
        </w:tc>
        <w:tc>
          <w:tcPr>
            <w:tcW w:w="2238" w:type="pct"/>
            <w:tcBorders>
              <w:top w:val="single" w:color="000000" w:sz="4" w:space="0"/>
              <w:left w:val="single" w:color="000000" w:sz="4" w:space="0"/>
              <w:bottom w:val="single" w:color="000000" w:sz="4" w:space="0"/>
              <w:right w:val="single" w:color="000000" w:sz="4" w:space="0"/>
            </w:tcBorders>
            <w:vAlign w:val="center"/>
          </w:tcPr>
          <w:p w14:paraId="01BACAF1">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高发肿瘤基因检测套餐2（包括但不限于肺癌、胃癌、肝癌、结直肠癌、食管癌、胰腺癌、甲状腺癌、慢性粒细胞白血病、神经胶质瘤、非何杰金氏淋巴癌、胆囊癌、鼻咽癌、前列腺癌、肾癌、膀胱癌、乳腺癌、卵巢癌、宫颈癌、子宫内膜癌等）</w:t>
            </w:r>
          </w:p>
        </w:tc>
        <w:tc>
          <w:tcPr>
            <w:tcW w:w="496" w:type="pct"/>
            <w:tcBorders>
              <w:top w:val="single" w:color="000000" w:sz="4" w:space="0"/>
              <w:left w:val="single" w:color="000000" w:sz="4" w:space="0"/>
              <w:bottom w:val="single" w:color="000000" w:sz="4" w:space="0"/>
              <w:right w:val="single" w:color="000000" w:sz="4" w:space="0"/>
            </w:tcBorders>
            <w:noWrap/>
            <w:vAlign w:val="center"/>
          </w:tcPr>
          <w:p w14:paraId="31F5D3B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核酸质谱</w:t>
            </w:r>
          </w:p>
        </w:tc>
        <w:tc>
          <w:tcPr>
            <w:tcW w:w="572" w:type="pct"/>
            <w:tcBorders>
              <w:top w:val="single" w:color="000000" w:sz="4" w:space="0"/>
              <w:left w:val="single" w:color="000000" w:sz="4" w:space="0"/>
              <w:bottom w:val="single" w:color="000000" w:sz="4" w:space="0"/>
              <w:right w:val="single" w:color="000000" w:sz="4" w:space="0"/>
            </w:tcBorders>
            <w:noWrap/>
            <w:vAlign w:val="center"/>
          </w:tcPr>
          <w:p w14:paraId="4EF1710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11个工作日</w:t>
            </w:r>
          </w:p>
        </w:tc>
        <w:tc>
          <w:tcPr>
            <w:tcW w:w="453" w:type="pct"/>
            <w:tcBorders>
              <w:top w:val="single" w:color="000000" w:sz="4" w:space="0"/>
              <w:left w:val="single" w:color="000000" w:sz="4" w:space="0"/>
              <w:bottom w:val="single" w:color="000000" w:sz="4" w:space="0"/>
              <w:right w:val="single" w:color="000000" w:sz="4" w:space="0"/>
            </w:tcBorders>
            <w:noWrap/>
            <w:vAlign w:val="center"/>
          </w:tcPr>
          <w:p w14:paraId="11921E4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1210</w:t>
            </w:r>
          </w:p>
        </w:tc>
        <w:tc>
          <w:tcPr>
            <w:tcW w:w="782" w:type="pct"/>
            <w:tcBorders>
              <w:top w:val="single" w:color="000000" w:sz="4" w:space="0"/>
              <w:left w:val="single" w:color="000000" w:sz="4" w:space="0"/>
              <w:bottom w:val="single" w:color="000000" w:sz="4" w:space="0"/>
              <w:right w:val="single" w:color="000000" w:sz="4" w:space="0"/>
            </w:tcBorders>
            <w:noWrap/>
            <w:vAlign w:val="center"/>
          </w:tcPr>
          <w:p w14:paraId="189C7BC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仿宋" w:hAnsi="仿宋" w:eastAsia="仿宋" w:cs="仿宋"/>
                <w:color w:val="auto"/>
                <w:sz w:val="24"/>
                <w:szCs w:val="24"/>
                <w:lang w:val="en-US" w:eastAsia="zh-CN"/>
              </w:rPr>
            </w:pPr>
            <w:r>
              <w:rPr>
                <w:rFonts w:hint="eastAsia" w:ascii="仿宋" w:hAnsi="仿宋" w:eastAsia="仿宋" w:cs="仿宋"/>
                <w:color w:val="auto"/>
                <w:kern w:val="0"/>
                <w:sz w:val="24"/>
                <w:szCs w:val="24"/>
                <w:lang w:val="en-US" w:eastAsia="zh-CN" w:bidi="ar"/>
              </w:rPr>
              <w:t>270700004</w:t>
            </w:r>
            <w:r>
              <w:rPr>
                <w:rFonts w:hint="eastAsia" w:ascii="仿宋" w:hAnsi="仿宋" w:eastAsia="仿宋" w:cs="仿宋"/>
                <w:color w:val="auto"/>
                <w:kern w:val="0"/>
                <w:sz w:val="24"/>
                <w:szCs w:val="24"/>
                <w:lang w:bidi="ar"/>
              </w:rPr>
              <w:t>（</w:t>
            </w:r>
            <w:r>
              <w:rPr>
                <w:rFonts w:hint="eastAsia" w:ascii="仿宋" w:hAnsi="仿宋" w:eastAsia="仿宋" w:cs="仿宋"/>
                <w:color w:val="auto"/>
                <w:kern w:val="0"/>
                <w:sz w:val="24"/>
                <w:szCs w:val="24"/>
                <w:lang w:val="en-US" w:eastAsia="zh-CN" w:bidi="ar"/>
              </w:rPr>
              <w:t>110</w:t>
            </w:r>
            <w:r>
              <w:rPr>
                <w:rFonts w:hint="eastAsia" w:ascii="仿宋" w:hAnsi="仿宋" w:eastAsia="仿宋" w:cs="仿宋"/>
                <w:color w:val="auto"/>
                <w:kern w:val="0"/>
                <w:sz w:val="24"/>
                <w:szCs w:val="24"/>
                <w:lang w:bidi="ar"/>
              </w:rPr>
              <w:t>）*</w:t>
            </w:r>
            <w:r>
              <w:rPr>
                <w:rFonts w:hint="eastAsia" w:ascii="仿宋" w:hAnsi="仿宋" w:eastAsia="仿宋" w:cs="仿宋"/>
                <w:color w:val="auto"/>
                <w:kern w:val="0"/>
                <w:sz w:val="24"/>
                <w:szCs w:val="24"/>
                <w:lang w:val="en-US" w:eastAsia="zh-CN" w:bidi="ar"/>
              </w:rPr>
              <w:t>11</w:t>
            </w:r>
          </w:p>
        </w:tc>
      </w:tr>
      <w:tr w14:paraId="113211E6">
        <w:tblPrEx>
          <w:tblCellMar>
            <w:top w:w="0" w:type="dxa"/>
            <w:left w:w="108" w:type="dxa"/>
            <w:bottom w:w="0" w:type="dxa"/>
            <w:right w:w="108" w:type="dxa"/>
          </w:tblCellMar>
        </w:tblPrEx>
        <w:trPr>
          <w:trHeight w:val="1460" w:hRule="atLeast"/>
        </w:trPr>
        <w:tc>
          <w:tcPr>
            <w:tcW w:w="457" w:type="pct"/>
            <w:vMerge w:val="continue"/>
            <w:tcBorders>
              <w:top w:val="single" w:color="000000" w:sz="4" w:space="0"/>
              <w:left w:val="single" w:color="000000" w:sz="4" w:space="0"/>
              <w:bottom w:val="single" w:color="000000" w:sz="4" w:space="0"/>
              <w:right w:val="single" w:color="000000" w:sz="4" w:space="0"/>
            </w:tcBorders>
            <w:noWrap/>
            <w:vAlign w:val="center"/>
          </w:tcPr>
          <w:p w14:paraId="4B8DF8EF">
            <w:pPr>
              <w:keepNext w:val="0"/>
              <w:keepLines w:val="0"/>
              <w:pageBreakBefore w:val="0"/>
              <w:kinsoku/>
              <w:wordWrap/>
              <w:overflowPunct/>
              <w:topLinePunct w:val="0"/>
              <w:autoSpaceDE/>
              <w:autoSpaceDN/>
              <w:bidi w:val="0"/>
              <w:adjustRightInd/>
              <w:snapToGrid/>
              <w:spacing w:line="360" w:lineRule="exact"/>
              <w:rPr>
                <w:rFonts w:hint="eastAsia" w:ascii="仿宋" w:hAnsi="仿宋" w:eastAsia="仿宋" w:cs="仿宋"/>
                <w:color w:val="auto"/>
                <w:sz w:val="24"/>
                <w:szCs w:val="24"/>
              </w:rPr>
            </w:pPr>
          </w:p>
        </w:tc>
        <w:tc>
          <w:tcPr>
            <w:tcW w:w="2238" w:type="pct"/>
            <w:tcBorders>
              <w:top w:val="single" w:color="000000" w:sz="4" w:space="0"/>
              <w:left w:val="single" w:color="000000" w:sz="4" w:space="0"/>
              <w:bottom w:val="single" w:color="000000" w:sz="4" w:space="0"/>
              <w:right w:val="single" w:color="000000" w:sz="4" w:space="0"/>
            </w:tcBorders>
            <w:vAlign w:val="center"/>
          </w:tcPr>
          <w:p w14:paraId="118F5089">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心、脑血管疾病基因检测15项（包括但不限于高血压、高同型半胱氨酸血症、高甘油三酯血症、高胆固醇血症、冠心病、心肌梗死、心源性猝死、动脉粥样硬化、心房颤动、静脉血栓栓塞、腹主动脉瘤、主动脉夹层、缺血性脑卒中/脑梗塞、出血性脑卒中/脑出血、脑动脉瘤等）</w:t>
            </w:r>
          </w:p>
        </w:tc>
        <w:tc>
          <w:tcPr>
            <w:tcW w:w="496" w:type="pct"/>
            <w:tcBorders>
              <w:top w:val="single" w:color="000000" w:sz="4" w:space="0"/>
              <w:left w:val="single" w:color="000000" w:sz="4" w:space="0"/>
              <w:bottom w:val="single" w:color="000000" w:sz="4" w:space="0"/>
              <w:right w:val="single" w:color="000000" w:sz="4" w:space="0"/>
            </w:tcBorders>
            <w:noWrap/>
            <w:vAlign w:val="center"/>
          </w:tcPr>
          <w:p w14:paraId="4E3DBEA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核酸质谱</w:t>
            </w:r>
          </w:p>
        </w:tc>
        <w:tc>
          <w:tcPr>
            <w:tcW w:w="572" w:type="pct"/>
            <w:tcBorders>
              <w:top w:val="single" w:color="000000" w:sz="4" w:space="0"/>
              <w:left w:val="single" w:color="000000" w:sz="4" w:space="0"/>
              <w:bottom w:val="single" w:color="000000" w:sz="4" w:space="0"/>
              <w:right w:val="single" w:color="000000" w:sz="4" w:space="0"/>
            </w:tcBorders>
            <w:noWrap/>
            <w:vAlign w:val="center"/>
          </w:tcPr>
          <w:p w14:paraId="279A58E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11个工作日</w:t>
            </w:r>
          </w:p>
        </w:tc>
        <w:tc>
          <w:tcPr>
            <w:tcW w:w="453" w:type="pct"/>
            <w:tcBorders>
              <w:top w:val="single" w:color="000000" w:sz="4" w:space="0"/>
              <w:left w:val="single" w:color="000000" w:sz="4" w:space="0"/>
              <w:bottom w:val="single" w:color="000000" w:sz="4" w:space="0"/>
              <w:right w:val="single" w:color="000000" w:sz="4" w:space="0"/>
            </w:tcBorders>
            <w:noWrap/>
            <w:vAlign w:val="center"/>
          </w:tcPr>
          <w:p w14:paraId="3D1F7EB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1210</w:t>
            </w:r>
          </w:p>
        </w:tc>
        <w:tc>
          <w:tcPr>
            <w:tcW w:w="782" w:type="pct"/>
            <w:tcBorders>
              <w:top w:val="single" w:color="000000" w:sz="4" w:space="0"/>
              <w:left w:val="single" w:color="000000" w:sz="4" w:space="0"/>
              <w:bottom w:val="single" w:color="000000" w:sz="4" w:space="0"/>
              <w:right w:val="single" w:color="000000" w:sz="4" w:space="0"/>
            </w:tcBorders>
            <w:noWrap/>
            <w:vAlign w:val="center"/>
          </w:tcPr>
          <w:p w14:paraId="6958321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仿宋" w:hAnsi="仿宋" w:eastAsia="仿宋" w:cs="仿宋"/>
                <w:color w:val="auto"/>
                <w:sz w:val="24"/>
                <w:szCs w:val="24"/>
                <w:lang w:val="en-US" w:eastAsia="zh-CN"/>
              </w:rPr>
            </w:pPr>
            <w:r>
              <w:rPr>
                <w:rFonts w:hint="eastAsia" w:ascii="仿宋" w:hAnsi="仿宋" w:eastAsia="仿宋" w:cs="仿宋"/>
                <w:color w:val="auto"/>
                <w:kern w:val="0"/>
                <w:sz w:val="24"/>
                <w:szCs w:val="24"/>
                <w:lang w:val="en-US" w:eastAsia="zh-CN" w:bidi="ar"/>
              </w:rPr>
              <w:t>270700004</w:t>
            </w:r>
            <w:r>
              <w:rPr>
                <w:rFonts w:hint="eastAsia" w:ascii="仿宋" w:hAnsi="仿宋" w:eastAsia="仿宋" w:cs="仿宋"/>
                <w:color w:val="auto"/>
                <w:kern w:val="0"/>
                <w:sz w:val="24"/>
                <w:szCs w:val="24"/>
                <w:lang w:bidi="ar"/>
              </w:rPr>
              <w:t>（</w:t>
            </w:r>
            <w:r>
              <w:rPr>
                <w:rFonts w:hint="eastAsia" w:ascii="仿宋" w:hAnsi="仿宋" w:eastAsia="仿宋" w:cs="仿宋"/>
                <w:color w:val="auto"/>
                <w:kern w:val="0"/>
                <w:sz w:val="24"/>
                <w:szCs w:val="24"/>
                <w:lang w:val="en-US" w:eastAsia="zh-CN" w:bidi="ar"/>
              </w:rPr>
              <w:t>110</w:t>
            </w:r>
            <w:r>
              <w:rPr>
                <w:rFonts w:hint="eastAsia" w:ascii="仿宋" w:hAnsi="仿宋" w:eastAsia="仿宋" w:cs="仿宋"/>
                <w:color w:val="auto"/>
                <w:kern w:val="0"/>
                <w:sz w:val="24"/>
                <w:szCs w:val="24"/>
                <w:lang w:bidi="ar"/>
              </w:rPr>
              <w:t>）*</w:t>
            </w:r>
            <w:r>
              <w:rPr>
                <w:rFonts w:hint="eastAsia" w:ascii="仿宋" w:hAnsi="仿宋" w:eastAsia="仿宋" w:cs="仿宋"/>
                <w:color w:val="auto"/>
                <w:kern w:val="0"/>
                <w:sz w:val="24"/>
                <w:szCs w:val="24"/>
                <w:lang w:val="en-US" w:eastAsia="zh-CN" w:bidi="ar"/>
              </w:rPr>
              <w:t>11</w:t>
            </w:r>
          </w:p>
        </w:tc>
      </w:tr>
      <w:tr w14:paraId="52C99C60">
        <w:tblPrEx>
          <w:tblCellMar>
            <w:top w:w="0" w:type="dxa"/>
            <w:left w:w="108" w:type="dxa"/>
            <w:bottom w:w="0" w:type="dxa"/>
            <w:right w:w="108" w:type="dxa"/>
          </w:tblCellMar>
        </w:tblPrEx>
        <w:trPr>
          <w:trHeight w:val="1320" w:hRule="atLeast"/>
        </w:trPr>
        <w:tc>
          <w:tcPr>
            <w:tcW w:w="457" w:type="pct"/>
            <w:vMerge w:val="continue"/>
            <w:tcBorders>
              <w:top w:val="single" w:color="000000" w:sz="4" w:space="0"/>
              <w:left w:val="single" w:color="000000" w:sz="4" w:space="0"/>
              <w:bottom w:val="single" w:color="000000" w:sz="4" w:space="0"/>
              <w:right w:val="single" w:color="000000" w:sz="4" w:space="0"/>
            </w:tcBorders>
            <w:noWrap/>
            <w:vAlign w:val="center"/>
          </w:tcPr>
          <w:p w14:paraId="3F056704">
            <w:pPr>
              <w:keepNext w:val="0"/>
              <w:keepLines w:val="0"/>
              <w:pageBreakBefore w:val="0"/>
              <w:kinsoku/>
              <w:wordWrap/>
              <w:overflowPunct/>
              <w:topLinePunct w:val="0"/>
              <w:autoSpaceDE/>
              <w:autoSpaceDN/>
              <w:bidi w:val="0"/>
              <w:adjustRightInd/>
              <w:snapToGrid/>
              <w:spacing w:line="360" w:lineRule="exact"/>
              <w:rPr>
                <w:rFonts w:hint="eastAsia" w:ascii="仿宋" w:hAnsi="仿宋" w:eastAsia="仿宋" w:cs="仿宋"/>
                <w:color w:val="auto"/>
                <w:sz w:val="24"/>
                <w:szCs w:val="24"/>
              </w:rPr>
            </w:pPr>
          </w:p>
        </w:tc>
        <w:tc>
          <w:tcPr>
            <w:tcW w:w="2238" w:type="pct"/>
            <w:tcBorders>
              <w:top w:val="single" w:color="000000" w:sz="4" w:space="0"/>
              <w:left w:val="single" w:color="000000" w:sz="4" w:space="0"/>
              <w:bottom w:val="single" w:color="000000" w:sz="4" w:space="0"/>
              <w:right w:val="single" w:color="000000" w:sz="4" w:space="0"/>
            </w:tcBorders>
            <w:vAlign w:val="center"/>
          </w:tcPr>
          <w:p w14:paraId="562FAFD1">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高发慢性肿瘤和慢病基因检测套餐1（包括但不限于肺癌、胃癌、肝癌、鼻咽癌、大肠癌、甲状腺癌、胰腺癌、淋巴癌、膀胱癌、食管癌、前列腺癌、心肌梗塞、脑中风、阿尔茨海默病、冠状动脉性心脏病、脑梗塞、乳腺癌、卵巢癌、宫颈癌等）</w:t>
            </w:r>
          </w:p>
        </w:tc>
        <w:tc>
          <w:tcPr>
            <w:tcW w:w="496" w:type="pct"/>
            <w:tcBorders>
              <w:top w:val="single" w:color="000000" w:sz="4" w:space="0"/>
              <w:left w:val="single" w:color="000000" w:sz="4" w:space="0"/>
              <w:bottom w:val="single" w:color="000000" w:sz="4" w:space="0"/>
              <w:right w:val="single" w:color="000000" w:sz="4" w:space="0"/>
            </w:tcBorders>
            <w:noWrap/>
            <w:vAlign w:val="center"/>
          </w:tcPr>
          <w:p w14:paraId="3A60A79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核酸质谱</w:t>
            </w:r>
          </w:p>
        </w:tc>
        <w:tc>
          <w:tcPr>
            <w:tcW w:w="572" w:type="pct"/>
            <w:tcBorders>
              <w:top w:val="single" w:color="000000" w:sz="4" w:space="0"/>
              <w:left w:val="single" w:color="000000" w:sz="4" w:space="0"/>
              <w:bottom w:val="single" w:color="000000" w:sz="4" w:space="0"/>
              <w:right w:val="single" w:color="000000" w:sz="4" w:space="0"/>
            </w:tcBorders>
            <w:noWrap/>
            <w:vAlign w:val="center"/>
          </w:tcPr>
          <w:p w14:paraId="3BEC49D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11个工作日</w:t>
            </w:r>
          </w:p>
        </w:tc>
        <w:tc>
          <w:tcPr>
            <w:tcW w:w="453" w:type="pct"/>
            <w:tcBorders>
              <w:top w:val="single" w:color="000000" w:sz="4" w:space="0"/>
              <w:left w:val="single" w:color="000000" w:sz="4" w:space="0"/>
              <w:bottom w:val="single" w:color="000000" w:sz="4" w:space="0"/>
              <w:right w:val="single" w:color="000000" w:sz="4" w:space="0"/>
            </w:tcBorders>
            <w:noWrap/>
            <w:vAlign w:val="center"/>
          </w:tcPr>
          <w:p w14:paraId="47697C4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1210</w:t>
            </w:r>
          </w:p>
        </w:tc>
        <w:tc>
          <w:tcPr>
            <w:tcW w:w="782" w:type="pct"/>
            <w:tcBorders>
              <w:top w:val="single" w:color="000000" w:sz="4" w:space="0"/>
              <w:left w:val="single" w:color="000000" w:sz="4" w:space="0"/>
              <w:bottom w:val="single" w:color="000000" w:sz="4" w:space="0"/>
              <w:right w:val="single" w:color="000000" w:sz="4" w:space="0"/>
            </w:tcBorders>
            <w:noWrap/>
            <w:vAlign w:val="center"/>
          </w:tcPr>
          <w:p w14:paraId="1802241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仿宋" w:hAnsi="仿宋" w:eastAsia="仿宋" w:cs="仿宋"/>
                <w:color w:val="auto"/>
                <w:sz w:val="24"/>
                <w:szCs w:val="24"/>
                <w:lang w:val="en-US" w:eastAsia="zh-CN"/>
              </w:rPr>
            </w:pPr>
            <w:r>
              <w:rPr>
                <w:rFonts w:hint="eastAsia" w:ascii="仿宋" w:hAnsi="仿宋" w:eastAsia="仿宋" w:cs="仿宋"/>
                <w:color w:val="auto"/>
                <w:kern w:val="0"/>
                <w:sz w:val="24"/>
                <w:szCs w:val="24"/>
                <w:lang w:val="en-US" w:eastAsia="zh-CN" w:bidi="ar"/>
              </w:rPr>
              <w:t>270700004</w:t>
            </w:r>
            <w:r>
              <w:rPr>
                <w:rFonts w:hint="eastAsia" w:ascii="仿宋" w:hAnsi="仿宋" w:eastAsia="仿宋" w:cs="仿宋"/>
                <w:color w:val="auto"/>
                <w:kern w:val="0"/>
                <w:sz w:val="24"/>
                <w:szCs w:val="24"/>
                <w:lang w:bidi="ar"/>
              </w:rPr>
              <w:t>（</w:t>
            </w:r>
            <w:r>
              <w:rPr>
                <w:rFonts w:hint="eastAsia" w:ascii="仿宋" w:hAnsi="仿宋" w:eastAsia="仿宋" w:cs="仿宋"/>
                <w:color w:val="auto"/>
                <w:kern w:val="0"/>
                <w:sz w:val="24"/>
                <w:szCs w:val="24"/>
                <w:lang w:val="en-US" w:eastAsia="zh-CN" w:bidi="ar"/>
              </w:rPr>
              <w:t>110</w:t>
            </w:r>
            <w:r>
              <w:rPr>
                <w:rFonts w:hint="eastAsia" w:ascii="仿宋" w:hAnsi="仿宋" w:eastAsia="仿宋" w:cs="仿宋"/>
                <w:color w:val="auto"/>
                <w:kern w:val="0"/>
                <w:sz w:val="24"/>
                <w:szCs w:val="24"/>
                <w:lang w:bidi="ar"/>
              </w:rPr>
              <w:t>）*</w:t>
            </w:r>
            <w:r>
              <w:rPr>
                <w:rFonts w:hint="eastAsia" w:ascii="仿宋" w:hAnsi="仿宋" w:eastAsia="仿宋" w:cs="仿宋"/>
                <w:color w:val="auto"/>
                <w:kern w:val="0"/>
                <w:sz w:val="24"/>
                <w:szCs w:val="24"/>
                <w:lang w:val="en-US" w:eastAsia="zh-CN" w:bidi="ar"/>
              </w:rPr>
              <w:t>11</w:t>
            </w:r>
          </w:p>
        </w:tc>
      </w:tr>
      <w:tr w14:paraId="115E9A55">
        <w:tblPrEx>
          <w:tblCellMar>
            <w:top w:w="0" w:type="dxa"/>
            <w:left w:w="108" w:type="dxa"/>
            <w:bottom w:w="0" w:type="dxa"/>
            <w:right w:w="108" w:type="dxa"/>
          </w:tblCellMar>
        </w:tblPrEx>
        <w:trPr>
          <w:trHeight w:val="2700" w:hRule="atLeast"/>
        </w:trPr>
        <w:tc>
          <w:tcPr>
            <w:tcW w:w="457" w:type="pct"/>
            <w:vMerge w:val="continue"/>
            <w:tcBorders>
              <w:top w:val="single" w:color="000000" w:sz="4" w:space="0"/>
              <w:left w:val="single" w:color="000000" w:sz="4" w:space="0"/>
              <w:bottom w:val="single" w:color="000000" w:sz="4" w:space="0"/>
              <w:right w:val="single" w:color="000000" w:sz="4" w:space="0"/>
            </w:tcBorders>
            <w:noWrap/>
            <w:vAlign w:val="center"/>
          </w:tcPr>
          <w:p w14:paraId="488BA156">
            <w:pPr>
              <w:keepNext w:val="0"/>
              <w:keepLines w:val="0"/>
              <w:pageBreakBefore w:val="0"/>
              <w:kinsoku/>
              <w:wordWrap/>
              <w:overflowPunct/>
              <w:topLinePunct w:val="0"/>
              <w:autoSpaceDE/>
              <w:autoSpaceDN/>
              <w:bidi w:val="0"/>
              <w:adjustRightInd/>
              <w:snapToGrid/>
              <w:spacing w:line="360" w:lineRule="exact"/>
              <w:rPr>
                <w:rFonts w:hint="eastAsia" w:ascii="仿宋" w:hAnsi="仿宋" w:eastAsia="仿宋" w:cs="仿宋"/>
                <w:color w:val="auto"/>
                <w:sz w:val="24"/>
                <w:szCs w:val="24"/>
              </w:rPr>
            </w:pPr>
          </w:p>
        </w:tc>
        <w:tc>
          <w:tcPr>
            <w:tcW w:w="2238" w:type="pct"/>
            <w:tcBorders>
              <w:top w:val="single" w:color="000000" w:sz="4" w:space="0"/>
              <w:left w:val="single" w:color="000000" w:sz="4" w:space="0"/>
              <w:bottom w:val="single" w:color="000000" w:sz="4" w:space="0"/>
              <w:right w:val="single" w:color="000000" w:sz="4" w:space="0"/>
            </w:tcBorders>
            <w:vAlign w:val="center"/>
          </w:tcPr>
          <w:p w14:paraId="387E6186">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高发慢性病肿瘤和慢病基因检测套餐2（包括但不限于肺癌、胃癌、胰腺癌、食管癌、结直肠癌、慢性淋巴细胞白血病、脑胶质瘤、肝癌、膀胱癌、鼻咽癌、黑色素瘤、甲状腺癌、骨髓瘤、舌癌、皮肤基底细胞癌、前列腺癌、睾丸癌、肾癌、口腔癌、胆囊癌、胆管癌、骨肉瘤、皮肤癌、急性淋巴细胞白血病、非霍奇金淋巴瘤、急性髓系白血病、高血压、高同型半胱氨酸血症、高甘油三酯血症、高胆固醇血症、冠心病、心肌梗死、脑梗塞（缺血性脑卒中）、脑溢血（出血性脑卒中）、动脉粥样硬化、肥胖症、2型糖尿病、痛风、骨质疏松症、乳腺癌、卵巢癌、宫颈癌、子宫内膜癌等）</w:t>
            </w:r>
          </w:p>
        </w:tc>
        <w:tc>
          <w:tcPr>
            <w:tcW w:w="496" w:type="pct"/>
            <w:tcBorders>
              <w:top w:val="single" w:color="000000" w:sz="4" w:space="0"/>
              <w:left w:val="single" w:color="000000" w:sz="4" w:space="0"/>
              <w:bottom w:val="single" w:color="000000" w:sz="4" w:space="0"/>
              <w:right w:val="single" w:color="000000" w:sz="4" w:space="0"/>
            </w:tcBorders>
            <w:noWrap/>
            <w:vAlign w:val="center"/>
          </w:tcPr>
          <w:p w14:paraId="0F66F7D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核酸质谱</w:t>
            </w:r>
          </w:p>
        </w:tc>
        <w:tc>
          <w:tcPr>
            <w:tcW w:w="572" w:type="pct"/>
            <w:tcBorders>
              <w:top w:val="single" w:color="000000" w:sz="4" w:space="0"/>
              <w:left w:val="single" w:color="000000" w:sz="4" w:space="0"/>
              <w:bottom w:val="single" w:color="000000" w:sz="4" w:space="0"/>
              <w:right w:val="single" w:color="000000" w:sz="4" w:space="0"/>
            </w:tcBorders>
            <w:noWrap/>
            <w:vAlign w:val="center"/>
          </w:tcPr>
          <w:p w14:paraId="50EFE4E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11个工作日</w:t>
            </w:r>
          </w:p>
        </w:tc>
        <w:tc>
          <w:tcPr>
            <w:tcW w:w="453" w:type="pct"/>
            <w:tcBorders>
              <w:top w:val="single" w:color="000000" w:sz="4" w:space="0"/>
              <w:left w:val="single" w:color="000000" w:sz="4" w:space="0"/>
              <w:bottom w:val="single" w:color="000000" w:sz="4" w:space="0"/>
              <w:right w:val="single" w:color="000000" w:sz="4" w:space="0"/>
            </w:tcBorders>
            <w:noWrap/>
            <w:vAlign w:val="center"/>
          </w:tcPr>
          <w:p w14:paraId="25873E7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1980</w:t>
            </w:r>
          </w:p>
        </w:tc>
        <w:tc>
          <w:tcPr>
            <w:tcW w:w="782" w:type="pct"/>
            <w:tcBorders>
              <w:top w:val="single" w:color="000000" w:sz="4" w:space="0"/>
              <w:left w:val="single" w:color="000000" w:sz="4" w:space="0"/>
              <w:bottom w:val="single" w:color="000000" w:sz="4" w:space="0"/>
              <w:right w:val="single" w:color="000000" w:sz="4" w:space="0"/>
            </w:tcBorders>
            <w:noWrap/>
            <w:vAlign w:val="center"/>
          </w:tcPr>
          <w:p w14:paraId="7D52CC4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仿宋" w:hAnsi="仿宋" w:eastAsia="仿宋" w:cs="仿宋"/>
                <w:color w:val="auto"/>
                <w:sz w:val="24"/>
                <w:szCs w:val="24"/>
                <w:lang w:val="en-US" w:eastAsia="zh-CN"/>
              </w:rPr>
            </w:pPr>
            <w:r>
              <w:rPr>
                <w:rFonts w:hint="eastAsia" w:ascii="仿宋" w:hAnsi="仿宋" w:eastAsia="仿宋" w:cs="仿宋"/>
                <w:color w:val="auto"/>
                <w:kern w:val="0"/>
                <w:sz w:val="24"/>
                <w:szCs w:val="24"/>
                <w:lang w:val="en-US" w:eastAsia="zh-CN" w:bidi="ar"/>
              </w:rPr>
              <w:t>270700004</w:t>
            </w:r>
            <w:r>
              <w:rPr>
                <w:rFonts w:hint="eastAsia" w:ascii="仿宋" w:hAnsi="仿宋" w:eastAsia="仿宋" w:cs="仿宋"/>
                <w:color w:val="auto"/>
                <w:kern w:val="0"/>
                <w:sz w:val="24"/>
                <w:szCs w:val="24"/>
                <w:lang w:bidi="ar"/>
              </w:rPr>
              <w:t>（</w:t>
            </w:r>
            <w:r>
              <w:rPr>
                <w:rFonts w:hint="eastAsia" w:ascii="仿宋" w:hAnsi="仿宋" w:eastAsia="仿宋" w:cs="仿宋"/>
                <w:color w:val="auto"/>
                <w:kern w:val="0"/>
                <w:sz w:val="24"/>
                <w:szCs w:val="24"/>
                <w:lang w:val="en-US" w:eastAsia="zh-CN" w:bidi="ar"/>
              </w:rPr>
              <w:t>110</w:t>
            </w:r>
            <w:r>
              <w:rPr>
                <w:rFonts w:hint="eastAsia" w:ascii="仿宋" w:hAnsi="仿宋" w:eastAsia="仿宋" w:cs="仿宋"/>
                <w:color w:val="auto"/>
                <w:kern w:val="0"/>
                <w:sz w:val="24"/>
                <w:szCs w:val="24"/>
                <w:lang w:bidi="ar"/>
              </w:rPr>
              <w:t>）*</w:t>
            </w:r>
            <w:r>
              <w:rPr>
                <w:rFonts w:hint="eastAsia" w:ascii="仿宋" w:hAnsi="仿宋" w:eastAsia="仿宋" w:cs="仿宋"/>
                <w:color w:val="auto"/>
                <w:kern w:val="0"/>
                <w:sz w:val="24"/>
                <w:szCs w:val="24"/>
                <w:lang w:val="en-US" w:eastAsia="zh-CN" w:bidi="ar"/>
              </w:rPr>
              <w:t>18</w:t>
            </w:r>
          </w:p>
        </w:tc>
      </w:tr>
      <w:tr w14:paraId="36007268">
        <w:tblPrEx>
          <w:tblCellMar>
            <w:top w:w="0" w:type="dxa"/>
            <w:left w:w="108" w:type="dxa"/>
            <w:bottom w:w="0" w:type="dxa"/>
            <w:right w:w="108" w:type="dxa"/>
          </w:tblCellMar>
        </w:tblPrEx>
        <w:trPr>
          <w:trHeight w:val="560" w:hRule="atLeast"/>
        </w:trPr>
        <w:tc>
          <w:tcPr>
            <w:tcW w:w="457" w:type="pct"/>
            <w:vMerge w:val="continue"/>
            <w:tcBorders>
              <w:top w:val="single" w:color="000000" w:sz="4" w:space="0"/>
              <w:left w:val="single" w:color="000000" w:sz="4" w:space="0"/>
              <w:bottom w:val="single" w:color="000000" w:sz="4" w:space="0"/>
              <w:right w:val="single" w:color="000000" w:sz="4" w:space="0"/>
            </w:tcBorders>
            <w:noWrap/>
            <w:vAlign w:val="center"/>
          </w:tcPr>
          <w:p w14:paraId="68C9C12E">
            <w:pPr>
              <w:keepNext w:val="0"/>
              <w:keepLines w:val="0"/>
              <w:pageBreakBefore w:val="0"/>
              <w:kinsoku/>
              <w:wordWrap/>
              <w:overflowPunct/>
              <w:topLinePunct w:val="0"/>
              <w:autoSpaceDE/>
              <w:autoSpaceDN/>
              <w:bidi w:val="0"/>
              <w:adjustRightInd/>
              <w:snapToGrid/>
              <w:spacing w:line="360" w:lineRule="exact"/>
              <w:rPr>
                <w:rFonts w:hint="eastAsia" w:ascii="仿宋" w:hAnsi="仿宋" w:eastAsia="仿宋" w:cs="仿宋"/>
                <w:color w:val="auto"/>
                <w:sz w:val="24"/>
                <w:szCs w:val="24"/>
              </w:rPr>
            </w:pPr>
          </w:p>
        </w:tc>
        <w:tc>
          <w:tcPr>
            <w:tcW w:w="2238" w:type="pct"/>
            <w:tcBorders>
              <w:top w:val="single" w:color="000000" w:sz="4" w:space="0"/>
              <w:left w:val="single" w:color="000000" w:sz="4" w:space="0"/>
              <w:bottom w:val="single" w:color="000000" w:sz="4" w:space="0"/>
              <w:right w:val="single" w:color="000000" w:sz="4" w:space="0"/>
            </w:tcBorders>
            <w:noWrap/>
            <w:vAlign w:val="center"/>
          </w:tcPr>
          <w:p w14:paraId="48D7408F">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心源性猝死基因检测（覆盖肥厚型心肌病、长QT综合征、扩张型心肌病）</w:t>
            </w:r>
          </w:p>
        </w:tc>
        <w:tc>
          <w:tcPr>
            <w:tcW w:w="496" w:type="pct"/>
            <w:tcBorders>
              <w:top w:val="single" w:color="000000" w:sz="4" w:space="0"/>
              <w:left w:val="single" w:color="000000" w:sz="4" w:space="0"/>
              <w:bottom w:val="single" w:color="000000" w:sz="4" w:space="0"/>
              <w:right w:val="single" w:color="000000" w:sz="4" w:space="0"/>
            </w:tcBorders>
            <w:noWrap/>
            <w:vAlign w:val="center"/>
          </w:tcPr>
          <w:p w14:paraId="0746D86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核酸质谱</w:t>
            </w:r>
          </w:p>
        </w:tc>
        <w:tc>
          <w:tcPr>
            <w:tcW w:w="572" w:type="pct"/>
            <w:tcBorders>
              <w:top w:val="single" w:color="000000" w:sz="4" w:space="0"/>
              <w:left w:val="single" w:color="000000" w:sz="4" w:space="0"/>
              <w:bottom w:val="single" w:color="000000" w:sz="4" w:space="0"/>
              <w:right w:val="single" w:color="000000" w:sz="4" w:space="0"/>
            </w:tcBorders>
            <w:noWrap/>
            <w:vAlign w:val="center"/>
          </w:tcPr>
          <w:p w14:paraId="6E0F5B1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9个工作日</w:t>
            </w:r>
          </w:p>
        </w:tc>
        <w:tc>
          <w:tcPr>
            <w:tcW w:w="453" w:type="pct"/>
            <w:tcBorders>
              <w:top w:val="single" w:color="000000" w:sz="4" w:space="0"/>
              <w:left w:val="single" w:color="000000" w:sz="4" w:space="0"/>
              <w:bottom w:val="single" w:color="000000" w:sz="4" w:space="0"/>
              <w:right w:val="single" w:color="000000" w:sz="4" w:space="0"/>
            </w:tcBorders>
            <w:noWrap/>
            <w:vAlign w:val="center"/>
          </w:tcPr>
          <w:p w14:paraId="3AFE983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仿宋" w:hAnsi="仿宋" w:eastAsia="仿宋" w:cs="仿宋"/>
                <w:color w:val="auto"/>
                <w:sz w:val="24"/>
                <w:szCs w:val="24"/>
                <w:lang w:val="en-US" w:eastAsia="zh-CN"/>
              </w:rPr>
            </w:pPr>
            <w:r>
              <w:rPr>
                <w:rFonts w:hint="eastAsia" w:ascii="仿宋" w:hAnsi="仿宋" w:eastAsia="仿宋" w:cs="仿宋"/>
                <w:color w:val="auto"/>
                <w:kern w:val="0"/>
                <w:sz w:val="24"/>
                <w:szCs w:val="24"/>
                <w:lang w:val="en-US" w:eastAsia="zh-CN" w:bidi="ar"/>
              </w:rPr>
              <w:t>770</w:t>
            </w:r>
          </w:p>
        </w:tc>
        <w:tc>
          <w:tcPr>
            <w:tcW w:w="782" w:type="pct"/>
            <w:tcBorders>
              <w:top w:val="single" w:color="000000" w:sz="4" w:space="0"/>
              <w:left w:val="single" w:color="000000" w:sz="4" w:space="0"/>
              <w:bottom w:val="single" w:color="000000" w:sz="4" w:space="0"/>
              <w:right w:val="single" w:color="000000" w:sz="4" w:space="0"/>
            </w:tcBorders>
            <w:noWrap/>
            <w:vAlign w:val="center"/>
          </w:tcPr>
          <w:p w14:paraId="13685D4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仿宋"/>
                <w:color w:val="auto"/>
                <w:sz w:val="24"/>
                <w:szCs w:val="24"/>
                <w:lang w:eastAsia="zh-CN"/>
              </w:rPr>
            </w:pPr>
            <w:r>
              <w:rPr>
                <w:rFonts w:hint="eastAsia" w:ascii="仿宋" w:hAnsi="仿宋" w:eastAsia="仿宋" w:cs="仿宋"/>
                <w:color w:val="auto"/>
                <w:kern w:val="0"/>
                <w:sz w:val="24"/>
                <w:szCs w:val="24"/>
                <w:lang w:val="en-US" w:eastAsia="zh-CN" w:bidi="ar"/>
              </w:rPr>
              <w:t>270700004</w:t>
            </w:r>
            <w:r>
              <w:rPr>
                <w:rFonts w:hint="eastAsia" w:ascii="仿宋" w:hAnsi="仿宋" w:eastAsia="仿宋" w:cs="仿宋"/>
                <w:color w:val="auto"/>
                <w:kern w:val="0"/>
                <w:sz w:val="24"/>
                <w:szCs w:val="24"/>
                <w:lang w:bidi="ar"/>
              </w:rPr>
              <w:t>（</w:t>
            </w:r>
            <w:r>
              <w:rPr>
                <w:rFonts w:hint="eastAsia" w:ascii="仿宋" w:hAnsi="仿宋" w:eastAsia="仿宋" w:cs="仿宋"/>
                <w:color w:val="auto"/>
                <w:kern w:val="0"/>
                <w:sz w:val="24"/>
                <w:szCs w:val="24"/>
                <w:lang w:val="en-US" w:eastAsia="zh-CN" w:bidi="ar"/>
              </w:rPr>
              <w:t>110</w:t>
            </w:r>
            <w:r>
              <w:rPr>
                <w:rFonts w:hint="eastAsia" w:ascii="仿宋" w:hAnsi="仿宋" w:eastAsia="仿宋" w:cs="仿宋"/>
                <w:color w:val="auto"/>
                <w:kern w:val="0"/>
                <w:sz w:val="24"/>
                <w:szCs w:val="24"/>
                <w:lang w:bidi="ar"/>
              </w:rPr>
              <w:t>）*</w:t>
            </w:r>
            <w:r>
              <w:rPr>
                <w:rFonts w:hint="eastAsia" w:ascii="仿宋" w:hAnsi="仿宋" w:eastAsia="仿宋" w:cs="仿宋"/>
                <w:color w:val="auto"/>
                <w:kern w:val="0"/>
                <w:sz w:val="24"/>
                <w:szCs w:val="24"/>
                <w:lang w:val="en-US" w:eastAsia="zh-CN" w:bidi="ar"/>
              </w:rPr>
              <w:t>7</w:t>
            </w:r>
          </w:p>
        </w:tc>
      </w:tr>
      <w:tr w14:paraId="7147A276">
        <w:tblPrEx>
          <w:tblCellMar>
            <w:top w:w="0" w:type="dxa"/>
            <w:left w:w="108" w:type="dxa"/>
            <w:bottom w:w="0" w:type="dxa"/>
            <w:right w:w="108" w:type="dxa"/>
          </w:tblCellMar>
        </w:tblPrEx>
        <w:trPr>
          <w:trHeight w:val="760" w:hRule="atLeast"/>
        </w:trPr>
        <w:tc>
          <w:tcPr>
            <w:tcW w:w="457" w:type="pct"/>
            <w:vMerge w:val="continue"/>
            <w:tcBorders>
              <w:top w:val="single" w:color="000000" w:sz="4" w:space="0"/>
              <w:left w:val="single" w:color="000000" w:sz="4" w:space="0"/>
              <w:bottom w:val="single" w:color="000000" w:sz="4" w:space="0"/>
              <w:right w:val="single" w:color="000000" w:sz="4" w:space="0"/>
            </w:tcBorders>
            <w:noWrap/>
            <w:vAlign w:val="center"/>
          </w:tcPr>
          <w:p w14:paraId="2FA7ED7E">
            <w:pPr>
              <w:keepNext w:val="0"/>
              <w:keepLines w:val="0"/>
              <w:pageBreakBefore w:val="0"/>
              <w:kinsoku/>
              <w:wordWrap/>
              <w:overflowPunct/>
              <w:topLinePunct w:val="0"/>
              <w:autoSpaceDE/>
              <w:autoSpaceDN/>
              <w:bidi w:val="0"/>
              <w:adjustRightInd/>
              <w:snapToGrid/>
              <w:spacing w:line="360" w:lineRule="exact"/>
              <w:rPr>
                <w:rFonts w:hint="eastAsia" w:ascii="仿宋" w:hAnsi="仿宋" w:eastAsia="仿宋" w:cs="仿宋"/>
                <w:color w:val="auto"/>
                <w:sz w:val="24"/>
                <w:szCs w:val="24"/>
              </w:rPr>
            </w:pPr>
          </w:p>
        </w:tc>
        <w:tc>
          <w:tcPr>
            <w:tcW w:w="2238" w:type="pct"/>
            <w:tcBorders>
              <w:top w:val="single" w:color="000000" w:sz="4" w:space="0"/>
              <w:left w:val="single" w:color="000000" w:sz="4" w:space="0"/>
              <w:bottom w:val="single" w:color="000000" w:sz="4" w:space="0"/>
              <w:right w:val="single" w:color="000000" w:sz="4" w:space="0"/>
            </w:tcBorders>
            <w:vAlign w:val="center"/>
          </w:tcPr>
          <w:p w14:paraId="00AE29FB">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慢病精准用药基因检测（覆盖高血压、糖尿病、高血脂以及抗凝血相关指导药物不低于60项）</w:t>
            </w:r>
          </w:p>
        </w:tc>
        <w:tc>
          <w:tcPr>
            <w:tcW w:w="496" w:type="pct"/>
            <w:tcBorders>
              <w:top w:val="single" w:color="000000" w:sz="4" w:space="0"/>
              <w:left w:val="single" w:color="000000" w:sz="4" w:space="0"/>
              <w:bottom w:val="single" w:color="000000" w:sz="4" w:space="0"/>
              <w:right w:val="single" w:color="000000" w:sz="4" w:space="0"/>
            </w:tcBorders>
            <w:noWrap/>
            <w:vAlign w:val="center"/>
          </w:tcPr>
          <w:p w14:paraId="5A789CC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核酸质谱</w:t>
            </w:r>
          </w:p>
        </w:tc>
        <w:tc>
          <w:tcPr>
            <w:tcW w:w="572" w:type="pct"/>
            <w:tcBorders>
              <w:top w:val="single" w:color="000000" w:sz="4" w:space="0"/>
              <w:left w:val="single" w:color="000000" w:sz="4" w:space="0"/>
              <w:bottom w:val="single" w:color="000000" w:sz="4" w:space="0"/>
              <w:right w:val="single" w:color="000000" w:sz="4" w:space="0"/>
            </w:tcBorders>
            <w:noWrap/>
            <w:vAlign w:val="center"/>
          </w:tcPr>
          <w:p w14:paraId="4FE02A9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14个工作日</w:t>
            </w:r>
          </w:p>
        </w:tc>
        <w:tc>
          <w:tcPr>
            <w:tcW w:w="453" w:type="pct"/>
            <w:tcBorders>
              <w:top w:val="single" w:color="000000" w:sz="4" w:space="0"/>
              <w:left w:val="single" w:color="000000" w:sz="4" w:space="0"/>
              <w:bottom w:val="single" w:color="000000" w:sz="4" w:space="0"/>
              <w:right w:val="single" w:color="000000" w:sz="4" w:space="0"/>
            </w:tcBorders>
            <w:noWrap/>
            <w:vAlign w:val="center"/>
          </w:tcPr>
          <w:p w14:paraId="08B7497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仿宋" w:hAnsi="仿宋" w:eastAsia="仿宋" w:cs="仿宋"/>
                <w:color w:val="auto"/>
                <w:sz w:val="24"/>
                <w:szCs w:val="24"/>
                <w:lang w:val="en-US" w:eastAsia="zh-CN"/>
              </w:rPr>
            </w:pPr>
            <w:r>
              <w:rPr>
                <w:rFonts w:hint="eastAsia" w:ascii="仿宋" w:hAnsi="仿宋" w:eastAsia="仿宋" w:cs="仿宋"/>
                <w:color w:val="auto"/>
                <w:kern w:val="0"/>
                <w:sz w:val="24"/>
                <w:szCs w:val="24"/>
                <w:lang w:val="en-US" w:eastAsia="zh-CN" w:bidi="ar"/>
              </w:rPr>
              <w:t>2420</w:t>
            </w:r>
          </w:p>
        </w:tc>
        <w:tc>
          <w:tcPr>
            <w:tcW w:w="782" w:type="pct"/>
            <w:tcBorders>
              <w:top w:val="single" w:color="000000" w:sz="4" w:space="0"/>
              <w:left w:val="single" w:color="000000" w:sz="4" w:space="0"/>
              <w:bottom w:val="single" w:color="000000" w:sz="4" w:space="0"/>
              <w:right w:val="single" w:color="000000" w:sz="4" w:space="0"/>
            </w:tcBorders>
            <w:noWrap/>
            <w:vAlign w:val="center"/>
          </w:tcPr>
          <w:p w14:paraId="5937674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仿宋" w:hAnsi="仿宋" w:eastAsia="仿宋" w:cs="仿宋"/>
                <w:color w:val="auto"/>
                <w:sz w:val="24"/>
                <w:szCs w:val="24"/>
                <w:lang w:val="en-US" w:eastAsia="zh-CN"/>
              </w:rPr>
            </w:pPr>
            <w:r>
              <w:rPr>
                <w:rFonts w:hint="eastAsia" w:ascii="仿宋" w:hAnsi="仿宋" w:eastAsia="仿宋" w:cs="仿宋"/>
                <w:color w:val="auto"/>
                <w:kern w:val="0"/>
                <w:sz w:val="24"/>
                <w:szCs w:val="24"/>
                <w:lang w:val="en-US" w:eastAsia="zh-CN" w:bidi="ar"/>
              </w:rPr>
              <w:t>270700004</w:t>
            </w:r>
            <w:r>
              <w:rPr>
                <w:rFonts w:hint="eastAsia" w:ascii="仿宋" w:hAnsi="仿宋" w:eastAsia="仿宋" w:cs="仿宋"/>
                <w:color w:val="auto"/>
                <w:kern w:val="0"/>
                <w:sz w:val="24"/>
                <w:szCs w:val="24"/>
                <w:lang w:bidi="ar"/>
              </w:rPr>
              <w:t>（</w:t>
            </w:r>
            <w:r>
              <w:rPr>
                <w:rFonts w:hint="eastAsia" w:ascii="仿宋" w:hAnsi="仿宋" w:eastAsia="仿宋" w:cs="仿宋"/>
                <w:color w:val="auto"/>
                <w:kern w:val="0"/>
                <w:sz w:val="24"/>
                <w:szCs w:val="24"/>
                <w:lang w:val="en-US" w:eastAsia="zh-CN" w:bidi="ar"/>
              </w:rPr>
              <w:t>110</w:t>
            </w:r>
            <w:r>
              <w:rPr>
                <w:rFonts w:hint="eastAsia" w:ascii="仿宋" w:hAnsi="仿宋" w:eastAsia="仿宋" w:cs="仿宋"/>
                <w:color w:val="auto"/>
                <w:kern w:val="0"/>
                <w:sz w:val="24"/>
                <w:szCs w:val="24"/>
                <w:lang w:bidi="ar"/>
              </w:rPr>
              <w:t>）*</w:t>
            </w:r>
            <w:r>
              <w:rPr>
                <w:rFonts w:hint="eastAsia" w:ascii="仿宋" w:hAnsi="仿宋" w:eastAsia="仿宋" w:cs="仿宋"/>
                <w:color w:val="auto"/>
                <w:kern w:val="0"/>
                <w:sz w:val="24"/>
                <w:szCs w:val="24"/>
                <w:lang w:val="en-US" w:eastAsia="zh-CN" w:bidi="ar"/>
              </w:rPr>
              <w:t>22</w:t>
            </w:r>
          </w:p>
        </w:tc>
      </w:tr>
      <w:tr w14:paraId="1EF90B9B">
        <w:tblPrEx>
          <w:tblCellMar>
            <w:top w:w="0" w:type="dxa"/>
            <w:left w:w="108" w:type="dxa"/>
            <w:bottom w:w="0" w:type="dxa"/>
            <w:right w:w="108" w:type="dxa"/>
          </w:tblCellMar>
        </w:tblPrEx>
        <w:trPr>
          <w:trHeight w:val="560" w:hRule="atLeast"/>
        </w:trPr>
        <w:tc>
          <w:tcPr>
            <w:tcW w:w="457" w:type="pct"/>
            <w:vMerge w:val="continue"/>
            <w:tcBorders>
              <w:top w:val="single" w:color="000000" w:sz="4" w:space="0"/>
              <w:left w:val="single" w:color="000000" w:sz="4" w:space="0"/>
              <w:bottom w:val="single" w:color="000000" w:sz="4" w:space="0"/>
              <w:right w:val="single" w:color="000000" w:sz="4" w:space="0"/>
            </w:tcBorders>
            <w:noWrap/>
            <w:vAlign w:val="center"/>
          </w:tcPr>
          <w:p w14:paraId="67F74B8B">
            <w:pPr>
              <w:keepNext w:val="0"/>
              <w:keepLines w:val="0"/>
              <w:pageBreakBefore w:val="0"/>
              <w:kinsoku/>
              <w:wordWrap/>
              <w:overflowPunct/>
              <w:topLinePunct w:val="0"/>
              <w:autoSpaceDE/>
              <w:autoSpaceDN/>
              <w:bidi w:val="0"/>
              <w:adjustRightInd/>
              <w:snapToGrid/>
              <w:spacing w:line="360" w:lineRule="exact"/>
              <w:rPr>
                <w:rFonts w:hint="eastAsia" w:ascii="仿宋" w:hAnsi="仿宋" w:eastAsia="仿宋" w:cs="仿宋"/>
                <w:color w:val="auto"/>
                <w:sz w:val="24"/>
                <w:szCs w:val="24"/>
              </w:rPr>
            </w:pPr>
          </w:p>
        </w:tc>
        <w:tc>
          <w:tcPr>
            <w:tcW w:w="2238" w:type="pct"/>
            <w:tcBorders>
              <w:top w:val="single" w:color="000000" w:sz="4" w:space="0"/>
              <w:left w:val="single" w:color="000000" w:sz="4" w:space="0"/>
              <w:bottom w:val="single" w:color="000000" w:sz="4" w:space="0"/>
              <w:right w:val="single" w:color="000000" w:sz="4" w:space="0"/>
            </w:tcBorders>
            <w:noWrap/>
            <w:vAlign w:val="center"/>
          </w:tcPr>
          <w:p w14:paraId="7EC4C39A">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子宫内膜癌甲基化基因检测（至少覆盖不低于2个内膜癌甲基化相关基因）</w:t>
            </w:r>
          </w:p>
        </w:tc>
        <w:tc>
          <w:tcPr>
            <w:tcW w:w="496" w:type="pct"/>
            <w:tcBorders>
              <w:top w:val="single" w:color="000000" w:sz="4" w:space="0"/>
              <w:left w:val="single" w:color="000000" w:sz="4" w:space="0"/>
              <w:bottom w:val="single" w:color="000000" w:sz="4" w:space="0"/>
              <w:right w:val="single" w:color="000000" w:sz="4" w:space="0"/>
            </w:tcBorders>
            <w:noWrap/>
            <w:vAlign w:val="center"/>
          </w:tcPr>
          <w:p w14:paraId="67FBEC9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PCR</w:t>
            </w:r>
          </w:p>
        </w:tc>
        <w:tc>
          <w:tcPr>
            <w:tcW w:w="572" w:type="pct"/>
            <w:tcBorders>
              <w:top w:val="single" w:color="000000" w:sz="4" w:space="0"/>
              <w:left w:val="single" w:color="000000" w:sz="4" w:space="0"/>
              <w:bottom w:val="single" w:color="000000" w:sz="4" w:space="0"/>
              <w:right w:val="single" w:color="000000" w:sz="4" w:space="0"/>
            </w:tcBorders>
            <w:noWrap/>
            <w:vAlign w:val="center"/>
          </w:tcPr>
          <w:p w14:paraId="34DCC40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5个工作日</w:t>
            </w:r>
          </w:p>
        </w:tc>
        <w:tc>
          <w:tcPr>
            <w:tcW w:w="453" w:type="pct"/>
            <w:tcBorders>
              <w:top w:val="single" w:color="000000" w:sz="4" w:space="0"/>
              <w:left w:val="single" w:color="000000" w:sz="4" w:space="0"/>
              <w:bottom w:val="single" w:color="000000" w:sz="4" w:space="0"/>
              <w:right w:val="single" w:color="000000" w:sz="4" w:space="0"/>
            </w:tcBorders>
            <w:noWrap/>
            <w:vAlign w:val="center"/>
          </w:tcPr>
          <w:p w14:paraId="5A512E8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仿宋" w:hAnsi="仿宋" w:eastAsia="仿宋" w:cs="仿宋"/>
                <w:color w:val="auto"/>
                <w:sz w:val="24"/>
                <w:szCs w:val="24"/>
                <w:lang w:val="en-US" w:eastAsia="zh-CN"/>
              </w:rPr>
            </w:pPr>
            <w:r>
              <w:rPr>
                <w:rFonts w:hint="eastAsia" w:ascii="仿宋" w:hAnsi="仿宋" w:eastAsia="仿宋" w:cs="仿宋"/>
                <w:color w:val="auto"/>
                <w:kern w:val="0"/>
                <w:sz w:val="24"/>
                <w:szCs w:val="24"/>
                <w:lang w:val="en-US" w:eastAsia="zh-CN" w:bidi="ar"/>
              </w:rPr>
              <w:t>880</w:t>
            </w:r>
          </w:p>
        </w:tc>
        <w:tc>
          <w:tcPr>
            <w:tcW w:w="782" w:type="pct"/>
            <w:tcBorders>
              <w:top w:val="single" w:color="000000" w:sz="4" w:space="0"/>
              <w:left w:val="single" w:color="000000" w:sz="4" w:space="0"/>
              <w:bottom w:val="single" w:color="000000" w:sz="4" w:space="0"/>
              <w:right w:val="single" w:color="000000" w:sz="4" w:space="0"/>
            </w:tcBorders>
            <w:noWrap/>
            <w:vAlign w:val="center"/>
          </w:tcPr>
          <w:p w14:paraId="4E983F2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270700004</w:t>
            </w:r>
            <w:r>
              <w:rPr>
                <w:rFonts w:hint="eastAsia" w:ascii="仿宋" w:hAnsi="仿宋" w:eastAsia="仿宋" w:cs="仿宋"/>
                <w:color w:val="auto"/>
                <w:kern w:val="0"/>
                <w:sz w:val="24"/>
                <w:szCs w:val="24"/>
                <w:lang w:bidi="ar"/>
              </w:rPr>
              <w:t>（</w:t>
            </w:r>
            <w:r>
              <w:rPr>
                <w:rFonts w:hint="eastAsia" w:ascii="仿宋" w:hAnsi="仿宋" w:eastAsia="仿宋" w:cs="仿宋"/>
                <w:color w:val="auto"/>
                <w:kern w:val="0"/>
                <w:sz w:val="24"/>
                <w:szCs w:val="24"/>
                <w:lang w:val="en-US" w:eastAsia="zh-CN" w:bidi="ar"/>
              </w:rPr>
              <w:t>110</w:t>
            </w:r>
            <w:r>
              <w:rPr>
                <w:rFonts w:hint="eastAsia" w:ascii="仿宋" w:hAnsi="仿宋" w:eastAsia="仿宋" w:cs="仿宋"/>
                <w:color w:val="auto"/>
                <w:kern w:val="0"/>
                <w:sz w:val="24"/>
                <w:szCs w:val="24"/>
                <w:lang w:bidi="ar"/>
              </w:rPr>
              <w:t>）*8</w:t>
            </w:r>
          </w:p>
        </w:tc>
      </w:tr>
      <w:tr w14:paraId="3CFB442B">
        <w:tblPrEx>
          <w:tblCellMar>
            <w:top w:w="0" w:type="dxa"/>
            <w:left w:w="108" w:type="dxa"/>
            <w:bottom w:w="0" w:type="dxa"/>
            <w:right w:w="108" w:type="dxa"/>
          </w:tblCellMar>
        </w:tblPrEx>
        <w:trPr>
          <w:trHeight w:val="720" w:hRule="atLeast"/>
        </w:trPr>
        <w:tc>
          <w:tcPr>
            <w:tcW w:w="457" w:type="pct"/>
            <w:vMerge w:val="continue"/>
            <w:tcBorders>
              <w:top w:val="single" w:color="000000" w:sz="4" w:space="0"/>
              <w:left w:val="single" w:color="000000" w:sz="4" w:space="0"/>
              <w:bottom w:val="single" w:color="000000" w:sz="4" w:space="0"/>
              <w:right w:val="single" w:color="000000" w:sz="4" w:space="0"/>
            </w:tcBorders>
            <w:noWrap/>
            <w:vAlign w:val="center"/>
          </w:tcPr>
          <w:p w14:paraId="4B6B47F2">
            <w:pPr>
              <w:keepNext w:val="0"/>
              <w:keepLines w:val="0"/>
              <w:pageBreakBefore w:val="0"/>
              <w:kinsoku/>
              <w:wordWrap/>
              <w:overflowPunct/>
              <w:topLinePunct w:val="0"/>
              <w:autoSpaceDE/>
              <w:autoSpaceDN/>
              <w:bidi w:val="0"/>
              <w:adjustRightInd/>
              <w:snapToGrid/>
              <w:spacing w:line="360" w:lineRule="exact"/>
              <w:rPr>
                <w:rFonts w:hint="eastAsia" w:ascii="仿宋" w:hAnsi="仿宋" w:eastAsia="仿宋" w:cs="仿宋"/>
                <w:color w:val="auto"/>
                <w:sz w:val="24"/>
                <w:szCs w:val="24"/>
              </w:rPr>
            </w:pPr>
          </w:p>
        </w:tc>
        <w:tc>
          <w:tcPr>
            <w:tcW w:w="2238" w:type="pct"/>
            <w:tcBorders>
              <w:top w:val="single" w:color="000000" w:sz="4" w:space="0"/>
              <w:left w:val="single" w:color="000000" w:sz="4" w:space="0"/>
              <w:bottom w:val="single" w:color="000000" w:sz="4" w:space="0"/>
              <w:right w:val="single" w:color="000000" w:sz="4" w:space="0"/>
            </w:tcBorders>
            <w:vAlign w:val="center"/>
          </w:tcPr>
          <w:p w14:paraId="6630C105">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个人基因组检测（检测常见疾病、隐性遗传病、药物代谢和个人特质等6类，不低于500项健康相关项目）</w:t>
            </w:r>
          </w:p>
        </w:tc>
        <w:tc>
          <w:tcPr>
            <w:tcW w:w="496" w:type="pct"/>
            <w:tcBorders>
              <w:top w:val="single" w:color="000000" w:sz="4" w:space="0"/>
              <w:left w:val="single" w:color="000000" w:sz="4" w:space="0"/>
              <w:bottom w:val="single" w:color="000000" w:sz="4" w:space="0"/>
              <w:right w:val="single" w:color="000000" w:sz="4" w:space="0"/>
            </w:tcBorders>
            <w:noWrap/>
            <w:vAlign w:val="center"/>
          </w:tcPr>
          <w:p w14:paraId="47DE154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基因芯片</w:t>
            </w:r>
          </w:p>
        </w:tc>
        <w:tc>
          <w:tcPr>
            <w:tcW w:w="572" w:type="pct"/>
            <w:tcBorders>
              <w:top w:val="single" w:color="000000" w:sz="4" w:space="0"/>
              <w:left w:val="single" w:color="000000" w:sz="4" w:space="0"/>
              <w:bottom w:val="single" w:color="000000" w:sz="4" w:space="0"/>
              <w:right w:val="single" w:color="000000" w:sz="4" w:space="0"/>
            </w:tcBorders>
            <w:noWrap/>
            <w:vAlign w:val="center"/>
          </w:tcPr>
          <w:p w14:paraId="29673EB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14个工作日</w:t>
            </w:r>
          </w:p>
        </w:tc>
        <w:tc>
          <w:tcPr>
            <w:tcW w:w="453" w:type="pct"/>
            <w:tcBorders>
              <w:top w:val="single" w:color="000000" w:sz="4" w:space="0"/>
              <w:left w:val="single" w:color="000000" w:sz="4" w:space="0"/>
              <w:bottom w:val="single" w:color="000000" w:sz="4" w:space="0"/>
              <w:right w:val="single" w:color="000000" w:sz="4" w:space="0"/>
            </w:tcBorders>
            <w:noWrap/>
            <w:vAlign w:val="center"/>
          </w:tcPr>
          <w:p w14:paraId="63D461D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仿宋" w:hAnsi="仿宋" w:eastAsia="仿宋" w:cs="仿宋"/>
                <w:color w:val="auto"/>
                <w:sz w:val="24"/>
                <w:szCs w:val="24"/>
                <w:lang w:val="en-US" w:eastAsia="zh-CN"/>
              </w:rPr>
            </w:pPr>
            <w:r>
              <w:rPr>
                <w:rFonts w:hint="eastAsia" w:ascii="仿宋" w:hAnsi="仿宋" w:eastAsia="仿宋" w:cs="仿宋"/>
                <w:color w:val="auto"/>
                <w:kern w:val="0"/>
                <w:sz w:val="24"/>
                <w:szCs w:val="24"/>
                <w:lang w:val="en-US" w:eastAsia="zh-CN" w:bidi="ar"/>
              </w:rPr>
              <w:t>4840</w:t>
            </w:r>
          </w:p>
        </w:tc>
        <w:tc>
          <w:tcPr>
            <w:tcW w:w="782" w:type="pct"/>
            <w:tcBorders>
              <w:top w:val="single" w:color="000000" w:sz="4" w:space="0"/>
              <w:left w:val="single" w:color="000000" w:sz="4" w:space="0"/>
              <w:bottom w:val="single" w:color="000000" w:sz="4" w:space="0"/>
              <w:right w:val="single" w:color="000000" w:sz="4" w:space="0"/>
            </w:tcBorders>
            <w:noWrap/>
            <w:vAlign w:val="center"/>
          </w:tcPr>
          <w:p w14:paraId="52FB568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仿宋" w:hAnsi="仿宋" w:eastAsia="仿宋" w:cs="仿宋"/>
                <w:color w:val="auto"/>
                <w:sz w:val="24"/>
                <w:szCs w:val="24"/>
                <w:lang w:val="en-US" w:eastAsia="zh-CN"/>
              </w:rPr>
            </w:pPr>
            <w:r>
              <w:rPr>
                <w:rFonts w:hint="eastAsia" w:ascii="仿宋" w:hAnsi="仿宋" w:eastAsia="仿宋" w:cs="仿宋"/>
                <w:color w:val="auto"/>
                <w:kern w:val="0"/>
                <w:sz w:val="24"/>
                <w:szCs w:val="24"/>
                <w:lang w:val="en-US" w:eastAsia="zh-CN" w:bidi="ar"/>
              </w:rPr>
              <w:t>270700004</w:t>
            </w:r>
            <w:r>
              <w:rPr>
                <w:rFonts w:hint="eastAsia" w:ascii="仿宋" w:hAnsi="仿宋" w:eastAsia="仿宋" w:cs="仿宋"/>
                <w:color w:val="auto"/>
                <w:kern w:val="0"/>
                <w:sz w:val="24"/>
                <w:szCs w:val="24"/>
                <w:lang w:bidi="ar"/>
              </w:rPr>
              <w:t>（</w:t>
            </w:r>
            <w:r>
              <w:rPr>
                <w:rFonts w:hint="eastAsia" w:ascii="仿宋" w:hAnsi="仿宋" w:eastAsia="仿宋" w:cs="仿宋"/>
                <w:color w:val="auto"/>
                <w:kern w:val="0"/>
                <w:sz w:val="24"/>
                <w:szCs w:val="24"/>
                <w:lang w:val="en-US" w:eastAsia="zh-CN" w:bidi="ar"/>
              </w:rPr>
              <w:t>110</w:t>
            </w:r>
            <w:r>
              <w:rPr>
                <w:rFonts w:hint="eastAsia" w:ascii="仿宋" w:hAnsi="仿宋" w:eastAsia="仿宋" w:cs="仿宋"/>
                <w:color w:val="auto"/>
                <w:kern w:val="0"/>
                <w:sz w:val="24"/>
                <w:szCs w:val="24"/>
                <w:lang w:bidi="ar"/>
              </w:rPr>
              <w:t>）*</w:t>
            </w:r>
            <w:r>
              <w:rPr>
                <w:rFonts w:hint="eastAsia" w:ascii="仿宋" w:hAnsi="仿宋" w:eastAsia="仿宋" w:cs="仿宋"/>
                <w:color w:val="auto"/>
                <w:kern w:val="0"/>
                <w:sz w:val="24"/>
                <w:szCs w:val="24"/>
                <w:lang w:val="en-US" w:eastAsia="zh-CN" w:bidi="ar"/>
              </w:rPr>
              <w:t>44</w:t>
            </w:r>
          </w:p>
        </w:tc>
      </w:tr>
      <w:tr w14:paraId="1FF48116">
        <w:tblPrEx>
          <w:tblCellMar>
            <w:top w:w="0" w:type="dxa"/>
            <w:left w:w="108" w:type="dxa"/>
            <w:bottom w:w="0" w:type="dxa"/>
            <w:right w:w="108" w:type="dxa"/>
          </w:tblCellMar>
        </w:tblPrEx>
        <w:trPr>
          <w:trHeight w:val="560" w:hRule="atLeast"/>
        </w:trPr>
        <w:tc>
          <w:tcPr>
            <w:tcW w:w="457" w:type="pct"/>
            <w:vMerge w:val="continue"/>
            <w:tcBorders>
              <w:top w:val="single" w:color="000000" w:sz="4" w:space="0"/>
              <w:left w:val="single" w:color="000000" w:sz="4" w:space="0"/>
              <w:bottom w:val="single" w:color="000000" w:sz="4" w:space="0"/>
              <w:right w:val="single" w:color="000000" w:sz="4" w:space="0"/>
            </w:tcBorders>
            <w:noWrap/>
            <w:vAlign w:val="center"/>
          </w:tcPr>
          <w:p w14:paraId="3112D81E">
            <w:pPr>
              <w:keepNext w:val="0"/>
              <w:keepLines w:val="0"/>
              <w:pageBreakBefore w:val="0"/>
              <w:kinsoku/>
              <w:wordWrap/>
              <w:overflowPunct/>
              <w:topLinePunct w:val="0"/>
              <w:autoSpaceDE/>
              <w:autoSpaceDN/>
              <w:bidi w:val="0"/>
              <w:adjustRightInd/>
              <w:snapToGrid/>
              <w:spacing w:line="360" w:lineRule="exact"/>
              <w:rPr>
                <w:rFonts w:hint="eastAsia" w:ascii="仿宋" w:hAnsi="仿宋" w:eastAsia="仿宋" w:cs="仿宋"/>
                <w:color w:val="auto"/>
                <w:sz w:val="24"/>
                <w:szCs w:val="24"/>
              </w:rPr>
            </w:pPr>
          </w:p>
        </w:tc>
        <w:tc>
          <w:tcPr>
            <w:tcW w:w="2238" w:type="pct"/>
            <w:tcBorders>
              <w:top w:val="single" w:color="000000" w:sz="4" w:space="0"/>
              <w:left w:val="single" w:color="000000" w:sz="4" w:space="0"/>
              <w:bottom w:val="single" w:color="000000" w:sz="4" w:space="0"/>
              <w:right w:val="single" w:color="000000" w:sz="4" w:space="0"/>
            </w:tcBorders>
            <w:noWrap/>
            <w:vAlign w:val="center"/>
          </w:tcPr>
          <w:p w14:paraId="4390A83F">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阿尔茨海默病（老年痴呆）基因检测</w:t>
            </w:r>
          </w:p>
        </w:tc>
        <w:tc>
          <w:tcPr>
            <w:tcW w:w="496" w:type="pct"/>
            <w:tcBorders>
              <w:top w:val="single" w:color="000000" w:sz="4" w:space="0"/>
              <w:left w:val="single" w:color="000000" w:sz="4" w:space="0"/>
              <w:bottom w:val="single" w:color="000000" w:sz="4" w:space="0"/>
              <w:right w:val="single" w:color="000000" w:sz="4" w:space="0"/>
            </w:tcBorders>
            <w:noWrap/>
            <w:vAlign w:val="center"/>
          </w:tcPr>
          <w:p w14:paraId="056F010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PCR</w:t>
            </w:r>
          </w:p>
        </w:tc>
        <w:tc>
          <w:tcPr>
            <w:tcW w:w="572" w:type="pct"/>
            <w:tcBorders>
              <w:top w:val="single" w:color="000000" w:sz="4" w:space="0"/>
              <w:left w:val="single" w:color="000000" w:sz="4" w:space="0"/>
              <w:bottom w:val="single" w:color="000000" w:sz="4" w:space="0"/>
              <w:right w:val="single" w:color="000000" w:sz="4" w:space="0"/>
            </w:tcBorders>
            <w:noWrap/>
            <w:vAlign w:val="center"/>
          </w:tcPr>
          <w:p w14:paraId="1165D54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9个工作日</w:t>
            </w:r>
          </w:p>
        </w:tc>
        <w:tc>
          <w:tcPr>
            <w:tcW w:w="453" w:type="pct"/>
            <w:tcBorders>
              <w:top w:val="single" w:color="000000" w:sz="4" w:space="0"/>
              <w:left w:val="single" w:color="000000" w:sz="4" w:space="0"/>
              <w:bottom w:val="single" w:color="000000" w:sz="4" w:space="0"/>
              <w:right w:val="single" w:color="000000" w:sz="4" w:space="0"/>
            </w:tcBorders>
            <w:noWrap/>
            <w:vAlign w:val="center"/>
          </w:tcPr>
          <w:p w14:paraId="4C8A0D2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仿宋" w:hAnsi="仿宋" w:eastAsia="仿宋" w:cs="仿宋"/>
                <w:color w:val="auto"/>
                <w:sz w:val="24"/>
                <w:szCs w:val="24"/>
                <w:lang w:val="en-US" w:eastAsia="zh-CN"/>
              </w:rPr>
            </w:pPr>
            <w:r>
              <w:rPr>
                <w:rFonts w:hint="eastAsia" w:ascii="仿宋" w:hAnsi="仿宋" w:eastAsia="仿宋" w:cs="仿宋"/>
                <w:color w:val="auto"/>
                <w:kern w:val="0"/>
                <w:sz w:val="24"/>
                <w:szCs w:val="24"/>
                <w:lang w:val="en-US" w:eastAsia="zh-CN" w:bidi="ar"/>
              </w:rPr>
              <w:t>660</w:t>
            </w:r>
          </w:p>
        </w:tc>
        <w:tc>
          <w:tcPr>
            <w:tcW w:w="782" w:type="pct"/>
            <w:tcBorders>
              <w:top w:val="single" w:color="000000" w:sz="4" w:space="0"/>
              <w:left w:val="single" w:color="000000" w:sz="4" w:space="0"/>
              <w:bottom w:val="single" w:color="000000" w:sz="4" w:space="0"/>
              <w:right w:val="single" w:color="000000" w:sz="4" w:space="0"/>
            </w:tcBorders>
            <w:noWrap/>
            <w:vAlign w:val="center"/>
          </w:tcPr>
          <w:p w14:paraId="18CF849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270700004</w:t>
            </w:r>
            <w:r>
              <w:rPr>
                <w:rFonts w:hint="eastAsia" w:ascii="仿宋" w:hAnsi="仿宋" w:eastAsia="仿宋" w:cs="仿宋"/>
                <w:color w:val="auto"/>
                <w:kern w:val="0"/>
                <w:sz w:val="24"/>
                <w:szCs w:val="24"/>
                <w:lang w:bidi="ar"/>
              </w:rPr>
              <w:t>（</w:t>
            </w:r>
            <w:r>
              <w:rPr>
                <w:rFonts w:hint="eastAsia" w:ascii="仿宋" w:hAnsi="仿宋" w:eastAsia="仿宋" w:cs="仿宋"/>
                <w:color w:val="auto"/>
                <w:kern w:val="0"/>
                <w:sz w:val="24"/>
                <w:szCs w:val="24"/>
                <w:lang w:val="en-US" w:eastAsia="zh-CN" w:bidi="ar"/>
              </w:rPr>
              <w:t>110</w:t>
            </w:r>
            <w:r>
              <w:rPr>
                <w:rFonts w:hint="eastAsia" w:ascii="仿宋" w:hAnsi="仿宋" w:eastAsia="仿宋" w:cs="仿宋"/>
                <w:color w:val="auto"/>
                <w:kern w:val="0"/>
                <w:sz w:val="24"/>
                <w:szCs w:val="24"/>
                <w:lang w:bidi="ar"/>
              </w:rPr>
              <w:t>）*6</w:t>
            </w:r>
          </w:p>
        </w:tc>
      </w:tr>
    </w:tbl>
    <w:p w14:paraId="68C72FD5">
      <w:pPr>
        <w:keepNext w:val="0"/>
        <w:keepLines w:val="0"/>
        <w:pageBreakBefore w:val="0"/>
        <w:widowControl w:val="0"/>
        <w:numPr>
          <w:ilvl w:val="0"/>
          <w:numId w:val="0"/>
        </w:numPr>
        <w:kinsoku/>
        <w:wordWrap/>
        <w:overflowPunct/>
        <w:topLinePunct w:val="0"/>
        <w:autoSpaceDE/>
        <w:autoSpaceDN/>
        <w:bidi w:val="0"/>
        <w:adjustRightInd/>
        <w:snapToGrid/>
        <w:spacing w:beforeAutospacing="0" w:after="80" w:afterAutospacing="0" w:line="440" w:lineRule="exact"/>
        <w:ind w:left="479" w:leftChars="228" w:firstLine="480" w:firstLineChars="200"/>
        <w:textAlignment w:val="auto"/>
        <w:rPr>
          <w:rFonts w:hint="default" w:ascii="宋体" w:hAnsi="宋体" w:eastAsia="宋体" w:cs="宋体"/>
          <w:snapToGrid w:val="0"/>
          <w:color w:val="auto"/>
          <w:kern w:val="0"/>
          <w:sz w:val="24"/>
          <w:szCs w:val="24"/>
          <w:lang w:val="en-US" w:eastAsia="zh-CN" w:bidi="ar-SA"/>
        </w:rPr>
      </w:pPr>
    </w:p>
    <w:sectPr>
      <w:pgSz w:w="11910" w:h="16840"/>
      <w:pgMar w:top="1440" w:right="1800" w:bottom="1440" w:left="180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OTNjYjJiZTQzMWZkYzkzMDY4MGMwODg2MmJjNWNiMjQifQ=="/>
  </w:docVars>
  <w:rsids>
    <w:rsidRoot w:val="00000000"/>
    <w:rsid w:val="00BF52BD"/>
    <w:rsid w:val="071C5217"/>
    <w:rsid w:val="09534F1E"/>
    <w:rsid w:val="0A7C56FA"/>
    <w:rsid w:val="0B862C93"/>
    <w:rsid w:val="0D0C2411"/>
    <w:rsid w:val="0D221326"/>
    <w:rsid w:val="1218192A"/>
    <w:rsid w:val="130378C1"/>
    <w:rsid w:val="1315611C"/>
    <w:rsid w:val="16155F88"/>
    <w:rsid w:val="18357EE7"/>
    <w:rsid w:val="1B063B77"/>
    <w:rsid w:val="1E412434"/>
    <w:rsid w:val="1FA616CA"/>
    <w:rsid w:val="21E94FBA"/>
    <w:rsid w:val="2225242F"/>
    <w:rsid w:val="24B1624B"/>
    <w:rsid w:val="2691005D"/>
    <w:rsid w:val="26B54B21"/>
    <w:rsid w:val="27191F7D"/>
    <w:rsid w:val="2E7F4F2A"/>
    <w:rsid w:val="319013B8"/>
    <w:rsid w:val="32877C14"/>
    <w:rsid w:val="3C8D44AB"/>
    <w:rsid w:val="3D3E1FDB"/>
    <w:rsid w:val="3D5F4F3E"/>
    <w:rsid w:val="3F3A6CF4"/>
    <w:rsid w:val="3F4F7231"/>
    <w:rsid w:val="40146189"/>
    <w:rsid w:val="40356427"/>
    <w:rsid w:val="4044160E"/>
    <w:rsid w:val="40F005A0"/>
    <w:rsid w:val="417451BD"/>
    <w:rsid w:val="42621029"/>
    <w:rsid w:val="43943464"/>
    <w:rsid w:val="442171A7"/>
    <w:rsid w:val="47700ADD"/>
    <w:rsid w:val="4D613236"/>
    <w:rsid w:val="4D8B3B2A"/>
    <w:rsid w:val="50125E3D"/>
    <w:rsid w:val="54BB1B63"/>
    <w:rsid w:val="59CB08D8"/>
    <w:rsid w:val="5B9434BE"/>
    <w:rsid w:val="5D064100"/>
    <w:rsid w:val="5E8636AF"/>
    <w:rsid w:val="5F4820F4"/>
    <w:rsid w:val="658E0532"/>
    <w:rsid w:val="66B54798"/>
    <w:rsid w:val="68830971"/>
    <w:rsid w:val="6D4F64E6"/>
    <w:rsid w:val="6DF31985"/>
    <w:rsid w:val="6FBF72AC"/>
    <w:rsid w:val="719721EE"/>
    <w:rsid w:val="7382233D"/>
    <w:rsid w:val="73983492"/>
    <w:rsid w:val="765C05BD"/>
    <w:rsid w:val="77F60E4C"/>
    <w:rsid w:val="7C8E41ED"/>
    <w:rsid w:val="7DC473F7"/>
    <w:rsid w:val="7F752528"/>
    <w:rsid w:val="7FB9415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semiHidden/>
    <w:unhideWhenUsed/>
    <w:qFormat/>
    <w:uiPriority w:val="99"/>
    <w:pPr>
      <w:spacing w:after="120"/>
    </w:pPr>
  </w:style>
  <w:style w:type="paragraph" w:styleId="3">
    <w:name w:val="Body Text 2"/>
    <w:basedOn w:val="1"/>
    <w:next w:val="2"/>
    <w:qFormat/>
    <w:uiPriority w:val="0"/>
    <w:pPr>
      <w:spacing w:after="120" w:line="480" w:lineRule="auto"/>
      <w:ind w:firstLine="560" w:firstLineChars="200"/>
    </w:pPr>
    <w:rPr>
      <w:rFonts w:ascii="Calibri" w:hAnsi="Calibri" w:eastAsia="仿宋_GB2312"/>
      <w:sz w:val="28"/>
      <w:szCs w:val="24"/>
    </w:rPr>
  </w:style>
  <w:style w:type="paragraph" w:styleId="4">
    <w:name w:val="Body Text Indent 2"/>
    <w:basedOn w:val="1"/>
    <w:qFormat/>
    <w:uiPriority w:val="0"/>
    <w:pPr>
      <w:spacing w:after="120" w:afterLines="0" w:line="480" w:lineRule="auto"/>
      <w:ind w:left="420" w:leftChars="200"/>
    </w:p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
    <w:name w:val="Table Normal"/>
    <w:autoRedefine/>
    <w:semiHidden/>
    <w:unhideWhenUsed/>
    <w:qFormat/>
    <w:uiPriority w:val="0"/>
    <w:tblPr>
      <w:tblCellMar>
        <w:top w:w="0" w:type="dxa"/>
        <w:left w:w="0" w:type="dxa"/>
        <w:bottom w:w="0" w:type="dxa"/>
        <w:right w:w="0" w:type="dxa"/>
      </w:tblCellMar>
    </w:tblPr>
  </w:style>
  <w:style w:type="paragraph" w:customStyle="1" w:styleId="10">
    <w:name w:val="Table Text"/>
    <w:basedOn w:val="1"/>
    <w:autoRedefine/>
    <w:semiHidden/>
    <w:qFormat/>
    <w:uiPriority w:val="0"/>
    <w:rPr>
      <w:rFonts w:ascii="宋体" w:hAnsi="宋体" w:eastAsia="宋体" w:cs="宋体"/>
      <w:sz w:val="23"/>
      <w:szCs w:val="23"/>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Pages>
  <Words>3231</Words>
  <Characters>3454</Characters>
  <TotalTime>1251</TotalTime>
  <ScaleCrop>false</ScaleCrop>
  <LinksUpToDate>false</LinksUpToDate>
  <CharactersWithSpaces>3454</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2024-04-18T16:26:00Z</dcterms:created>
  <dc:creator>Administrator</dc:creator>
  <cp:lastModifiedBy>驻马店市中医院招标办</cp:lastModifiedBy>
  <cp:lastPrinted>2025-09-25T01:03:00Z</cp:lastPrinted>
  <dcterms:modified xsi:type="dcterms:W3CDTF">2025-10-23T03:50:06Z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2024-04-18T16:26:51Z</vt:filetime>
  </property>
  <property fmtid="{D5CDD505-2E9C-101B-9397-08002B2CF9AE}" pid="4" name="UsrData">
    <vt:lpwstr>6620d9482c5135001f4fd140wl</vt:lpwstr>
  </property>
  <property fmtid="{D5CDD505-2E9C-101B-9397-08002B2CF9AE}" pid="5" name="KSOProductBuildVer">
    <vt:lpwstr>2052-12.1.0.23125</vt:lpwstr>
  </property>
  <property fmtid="{D5CDD505-2E9C-101B-9397-08002B2CF9AE}" pid="6" name="ICV">
    <vt:lpwstr>2819C53C9EC541968EFFF78B5F469F5E_13</vt:lpwstr>
  </property>
  <property fmtid="{D5CDD505-2E9C-101B-9397-08002B2CF9AE}" pid="7" name="KSOTemplateDocerSaveRecord">
    <vt:lpwstr>eyJoZGlkIjoiMTEyNGU5MjFiZWU2ZTkyMTZhZDU5NDk5ZTg5NzZkMzciLCJ1c2VySWQiOiIxMTM3NDM2MzI0In0=</vt:lpwstr>
  </property>
</Properties>
</file>