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3E8A6">
      <w:pPr>
        <w:spacing w:line="215" w:lineRule="exact"/>
      </w:pPr>
    </w:p>
    <w:p w14:paraId="095FFCC1">
      <w:pPr>
        <w:spacing w:line="215" w:lineRule="exact"/>
      </w:pPr>
    </w:p>
    <w:p w14:paraId="533304D2">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13" w:beforeAutospacing="0" w:after="0" w:afterAutospacing="0" w:line="220" w:lineRule="auto"/>
        <w:ind w:right="0"/>
        <w:jc w:val="center"/>
        <w:rPr>
          <w:rFonts w:hint="default" w:eastAsia="黑体"/>
          <w:lang w:val="en-US" w:eastAsia="zh-CN"/>
        </w:rPr>
      </w:pPr>
      <w:r>
        <w:rPr>
          <w:rFonts w:ascii="黑体" w:hAnsi="宋体" w:eastAsia="黑体" w:cs="黑体"/>
          <w:color w:val="000000"/>
          <w:sz w:val="35"/>
          <w:szCs w:val="35"/>
        </w:rPr>
        <w:t>驻马店市中医院</w:t>
      </w:r>
      <w:r>
        <w:rPr>
          <w:rFonts w:hint="eastAsia" w:ascii="黑体" w:hAnsi="宋体" w:eastAsia="黑体" w:cs="黑体"/>
          <w:color w:val="000000"/>
          <w:sz w:val="35"/>
          <w:szCs w:val="35"/>
          <w:lang w:val="en-US" w:eastAsia="zh-CN"/>
        </w:rPr>
        <w:t>采购</w:t>
      </w:r>
      <w:r>
        <w:rPr>
          <w:rFonts w:hint="eastAsia" w:ascii="黑体" w:hAnsi="宋体" w:eastAsia="黑体" w:cs="黑体"/>
          <w:color w:val="000000"/>
          <w:sz w:val="35"/>
          <w:szCs w:val="35"/>
        </w:rPr>
        <w:t>项目</w:t>
      </w:r>
      <w:r>
        <w:rPr>
          <w:rFonts w:hint="eastAsia" w:ascii="黑体" w:hAnsi="宋体" w:eastAsia="黑体" w:cs="黑体"/>
          <w:color w:val="000000"/>
          <w:sz w:val="35"/>
          <w:szCs w:val="35"/>
          <w:lang w:val="en-US" w:eastAsia="zh-CN"/>
        </w:rPr>
        <w:t>需求确认书</w:t>
      </w:r>
    </w:p>
    <w:p w14:paraId="207E4EE3">
      <w:pPr>
        <w:spacing w:line="215" w:lineRule="exact"/>
      </w:pPr>
    </w:p>
    <w:p w14:paraId="5A96E3C5">
      <w:pPr>
        <w:spacing w:line="215" w:lineRule="exact"/>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8"/>
        <w:gridCol w:w="7665"/>
      </w:tblGrid>
      <w:tr w14:paraId="480A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jc w:val="center"/>
        </w:trPr>
        <w:tc>
          <w:tcPr>
            <w:tcW w:w="2138" w:type="dxa"/>
            <w:vAlign w:val="center"/>
          </w:tcPr>
          <w:p w14:paraId="0413A5B3">
            <w:pPr>
              <w:pStyle w:val="10"/>
              <w:spacing w:before="75" w:line="220" w:lineRule="auto"/>
              <w:jc w:val="both"/>
              <w:rPr>
                <w:sz w:val="32"/>
                <w:szCs w:val="32"/>
              </w:rPr>
            </w:pPr>
            <w:r>
              <w:rPr>
                <w:spacing w:val="2"/>
                <w:sz w:val="32"/>
                <w:szCs w:val="32"/>
              </w:rPr>
              <w:t>项目名称</w:t>
            </w:r>
          </w:p>
        </w:tc>
        <w:tc>
          <w:tcPr>
            <w:tcW w:w="7665" w:type="dxa"/>
            <w:vAlign w:val="center"/>
          </w:tcPr>
          <w:p w14:paraId="5D1599D2">
            <w:pPr>
              <w:pStyle w:val="10"/>
              <w:spacing w:before="75" w:line="220" w:lineRule="auto"/>
              <w:ind w:firstLine="732" w:firstLineChars="300"/>
              <w:jc w:val="both"/>
              <w:rPr>
                <w:rFonts w:hint="eastAsia" w:ascii="宋体" w:hAnsi="宋体" w:eastAsia="宋体" w:cs="宋体"/>
                <w:spacing w:val="2"/>
                <w:sz w:val="24"/>
                <w:szCs w:val="24"/>
              </w:rPr>
            </w:pPr>
            <w:r>
              <w:rPr>
                <w:rFonts w:hint="eastAsia" w:ascii="宋体" w:hAnsi="宋体" w:eastAsia="宋体" w:cs="宋体"/>
                <w:spacing w:val="2"/>
                <w:sz w:val="24"/>
                <w:szCs w:val="24"/>
              </w:rPr>
              <w:t>驻马店市</w:t>
            </w:r>
            <w:r>
              <w:rPr>
                <w:rFonts w:hint="eastAsia" w:cs="宋体"/>
                <w:spacing w:val="2"/>
                <w:sz w:val="24"/>
                <w:szCs w:val="24"/>
                <w:lang w:val="en-US" w:eastAsia="zh-CN"/>
              </w:rPr>
              <w:t>中医院共享轮椅</w:t>
            </w:r>
            <w:r>
              <w:rPr>
                <w:rFonts w:hint="eastAsia" w:ascii="宋体" w:hAnsi="宋体" w:eastAsia="宋体" w:cs="宋体"/>
                <w:spacing w:val="2"/>
                <w:sz w:val="24"/>
                <w:szCs w:val="24"/>
              </w:rPr>
              <w:t>采购项目</w:t>
            </w:r>
          </w:p>
        </w:tc>
      </w:tr>
      <w:tr w14:paraId="40AA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2138" w:type="dxa"/>
            <w:vAlign w:val="top"/>
          </w:tcPr>
          <w:p w14:paraId="4BA7EDF7">
            <w:pPr>
              <w:spacing w:line="261" w:lineRule="auto"/>
              <w:jc w:val="both"/>
              <w:rPr>
                <w:rFonts w:ascii="Arial"/>
                <w:sz w:val="32"/>
                <w:szCs w:val="32"/>
              </w:rPr>
            </w:pPr>
          </w:p>
          <w:p w14:paraId="38CC9979">
            <w:pPr>
              <w:pStyle w:val="10"/>
              <w:spacing w:before="75" w:line="220" w:lineRule="auto"/>
              <w:jc w:val="both"/>
              <w:rPr>
                <w:rFonts w:hint="eastAsia" w:eastAsia="宋体"/>
                <w:sz w:val="32"/>
                <w:szCs w:val="32"/>
                <w:lang w:val="en-US" w:eastAsia="zh-CN"/>
              </w:rPr>
            </w:pPr>
            <w:r>
              <w:rPr>
                <w:rFonts w:hint="eastAsia"/>
                <w:sz w:val="32"/>
                <w:szCs w:val="32"/>
                <w:lang w:val="en-US" w:eastAsia="zh-CN"/>
              </w:rPr>
              <w:t>一</w:t>
            </w:r>
            <w:r>
              <w:rPr>
                <w:sz w:val="32"/>
                <w:szCs w:val="32"/>
              </w:rPr>
              <w:t>、项目需求</w:t>
            </w:r>
            <w:r>
              <w:rPr>
                <w:rFonts w:hint="eastAsia"/>
                <w:sz w:val="32"/>
                <w:szCs w:val="32"/>
                <w:lang w:val="en-US" w:eastAsia="zh-CN"/>
              </w:rPr>
              <w:t>概况</w:t>
            </w:r>
          </w:p>
        </w:tc>
        <w:tc>
          <w:tcPr>
            <w:tcW w:w="7665" w:type="dxa"/>
            <w:vAlign w:val="top"/>
          </w:tcPr>
          <w:p w14:paraId="7D9A5AE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napToGrid w:val="0"/>
                <w:color w:val="auto"/>
                <w:kern w:val="0"/>
                <w:sz w:val="24"/>
                <w:szCs w:val="24"/>
                <w:lang w:val="en-US" w:eastAsia="zh-CN" w:bidi="ar-SA"/>
              </w:rPr>
              <w:t>根据便民服务措施落实需要及科室申请，我院拟遴选供应商进行共享轮椅投放服务。预计投放7组共享轮椅，每组4个轮椅，共计28个轮椅。本项目最低限价为：3000元/年向医院缴纳管理费（管理费为：设备电费、保洁和消毒费等）。</w:t>
            </w:r>
          </w:p>
        </w:tc>
      </w:tr>
      <w:tr w14:paraId="71403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3" w:hRule="atLeast"/>
          <w:jc w:val="center"/>
        </w:trPr>
        <w:tc>
          <w:tcPr>
            <w:tcW w:w="2138" w:type="dxa"/>
            <w:vAlign w:val="top"/>
          </w:tcPr>
          <w:p w14:paraId="6CF3B3CB">
            <w:pPr>
              <w:spacing w:line="366" w:lineRule="auto"/>
              <w:jc w:val="both"/>
              <w:rPr>
                <w:rFonts w:ascii="Arial"/>
                <w:sz w:val="32"/>
                <w:szCs w:val="32"/>
              </w:rPr>
            </w:pPr>
          </w:p>
          <w:p w14:paraId="56566ACB">
            <w:pPr>
              <w:pStyle w:val="10"/>
              <w:spacing w:before="75" w:line="219" w:lineRule="auto"/>
              <w:jc w:val="both"/>
              <w:rPr>
                <w:sz w:val="32"/>
                <w:szCs w:val="32"/>
              </w:rPr>
            </w:pPr>
            <w:r>
              <w:rPr>
                <w:spacing w:val="1"/>
                <w:sz w:val="32"/>
                <w:szCs w:val="32"/>
              </w:rPr>
              <w:t>二、</w:t>
            </w:r>
            <w:r>
              <w:rPr>
                <w:rFonts w:hint="eastAsia"/>
                <w:spacing w:val="1"/>
                <w:sz w:val="32"/>
                <w:szCs w:val="32"/>
                <w:lang w:val="en-US" w:eastAsia="zh-CN"/>
              </w:rPr>
              <w:t>资格资质</w:t>
            </w:r>
            <w:r>
              <w:rPr>
                <w:spacing w:val="1"/>
                <w:sz w:val="32"/>
                <w:szCs w:val="32"/>
              </w:rPr>
              <w:t>要求</w:t>
            </w:r>
          </w:p>
        </w:tc>
        <w:tc>
          <w:tcPr>
            <w:tcW w:w="7665" w:type="dxa"/>
            <w:vAlign w:val="top"/>
          </w:tcPr>
          <w:p w14:paraId="664B709F">
            <w:pPr>
              <w:pStyle w:val="10"/>
              <w:keepNext w:val="0"/>
              <w:keepLines w:val="0"/>
              <w:pageBreakBefore w:val="0"/>
              <w:widowControl/>
              <w:numPr>
                <w:ilvl w:val="0"/>
                <w:numId w:val="0"/>
              </w:numPr>
              <w:kinsoku w:val="0"/>
              <w:wordWrap/>
              <w:overflowPunct/>
              <w:topLinePunct w:val="0"/>
              <w:autoSpaceDE w:val="0"/>
              <w:autoSpaceDN w:val="0"/>
              <w:bidi w:val="0"/>
              <w:adjustRightInd w:val="0"/>
              <w:snapToGrid w:val="0"/>
              <w:spacing w:before="36" w:line="340" w:lineRule="exact"/>
              <w:ind w:right="139" w:rightChars="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参与项目的供应商必须是合法注册的公司或组织：</w:t>
            </w:r>
          </w:p>
          <w:p w14:paraId="36D6C8D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1、符合《中华人民共和国政府采购法》第二十二条规定的条件</w:t>
            </w:r>
          </w:p>
          <w:p w14:paraId="147702D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2、供应商应具备履行合同所必须的设备和专业技术能力；</w:t>
            </w:r>
          </w:p>
          <w:p w14:paraId="4578B71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供应商应提供2024年或2025年度经审计的财务报告或者其基本开户银行出具的资信证明；采购活动前近三个月内或上个季度任一个月的依法缴纳税收的凭据和缴纳社会保险的凭据；依法免税或不需要缴纳社会保障资金的供应商，应提供相应文件证明其依法免税或不需要缴纳社会保障资金。</w:t>
            </w:r>
          </w:p>
          <w:p w14:paraId="4CB05DE5">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4、供应商近三年在招投标活动中无劣迹，未出现违法、违规经营行为；具有良好的商业信誉、经营状况良好。</w:t>
            </w:r>
          </w:p>
          <w:p w14:paraId="06CC17AF">
            <w:pPr>
              <w:pStyle w:val="10"/>
              <w:keepNext w:val="0"/>
              <w:keepLines w:val="0"/>
              <w:pageBreakBefore w:val="0"/>
              <w:widowControl/>
              <w:numPr>
                <w:ilvl w:val="0"/>
                <w:numId w:val="0"/>
              </w:numPr>
              <w:kinsoku w:val="0"/>
              <w:wordWrap/>
              <w:overflowPunct/>
              <w:topLinePunct w:val="0"/>
              <w:autoSpaceDE w:val="0"/>
              <w:autoSpaceDN w:val="0"/>
              <w:bidi w:val="0"/>
              <w:adjustRightInd w:val="0"/>
              <w:snapToGrid w:val="0"/>
              <w:spacing w:before="36" w:line="340" w:lineRule="exact"/>
              <w:ind w:right="139" w:rightChars="0" w:firstLine="480" w:firstLineChars="200"/>
              <w:jc w:val="both"/>
              <w:textAlignment w:val="baseline"/>
              <w:rPr>
                <w:rFonts w:hint="eastAsia" w:ascii="宋体" w:hAnsi="宋体" w:eastAsia="宋体" w:cs="宋体"/>
                <w:spacing w:val="-1"/>
                <w:sz w:val="24"/>
                <w:szCs w:val="24"/>
              </w:rPr>
            </w:pPr>
            <w:r>
              <w:rPr>
                <w:rFonts w:hint="eastAsia" w:ascii="宋体" w:hAnsi="宋体" w:eastAsia="宋体" w:cs="宋体"/>
                <w:snapToGrid w:val="0"/>
                <w:color w:val="auto"/>
                <w:kern w:val="0"/>
                <w:sz w:val="24"/>
                <w:szCs w:val="24"/>
                <w:lang w:val="en-US" w:eastAsia="zh-CN" w:bidi="ar-SA"/>
              </w:rPr>
              <w:t>5、对列入失信被执行人、重大税收违法失信主体、政府采购严重违法失信行为记录名单的供应商，拒绝参与本项目，提供查询记录（“信用中国”及“中国政府采购网”查询记录）</w:t>
            </w:r>
          </w:p>
        </w:tc>
      </w:tr>
      <w:tr w14:paraId="7737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jc w:val="center"/>
        </w:trPr>
        <w:tc>
          <w:tcPr>
            <w:tcW w:w="2138" w:type="dxa"/>
            <w:vAlign w:val="top"/>
          </w:tcPr>
          <w:p w14:paraId="47B55660">
            <w:pPr>
              <w:spacing w:line="243" w:lineRule="auto"/>
              <w:jc w:val="both"/>
              <w:rPr>
                <w:rFonts w:ascii="Arial"/>
                <w:sz w:val="32"/>
                <w:szCs w:val="32"/>
              </w:rPr>
            </w:pPr>
          </w:p>
          <w:p w14:paraId="56F6C386">
            <w:pPr>
              <w:pStyle w:val="2"/>
              <w:rPr>
                <w:rFonts w:ascii="Arial"/>
                <w:sz w:val="32"/>
                <w:szCs w:val="32"/>
              </w:rPr>
            </w:pPr>
          </w:p>
          <w:p w14:paraId="09741F64">
            <w:pPr>
              <w:pStyle w:val="3"/>
            </w:pPr>
          </w:p>
          <w:p w14:paraId="07EAAF2F">
            <w:pPr>
              <w:pStyle w:val="10"/>
              <w:spacing w:before="75" w:line="219" w:lineRule="auto"/>
              <w:ind w:left="74"/>
              <w:jc w:val="both"/>
              <w:rPr>
                <w:sz w:val="32"/>
                <w:szCs w:val="32"/>
              </w:rPr>
            </w:pPr>
            <w:r>
              <w:rPr>
                <w:rFonts w:hint="eastAsia"/>
                <w:spacing w:val="1"/>
                <w:sz w:val="32"/>
                <w:szCs w:val="32"/>
                <w:lang w:val="en-US" w:eastAsia="zh-CN"/>
              </w:rPr>
              <w:t>三、</w:t>
            </w:r>
            <w:r>
              <w:rPr>
                <w:spacing w:val="1"/>
                <w:sz w:val="32"/>
                <w:szCs w:val="32"/>
              </w:rPr>
              <w:t>项目</w:t>
            </w:r>
            <w:r>
              <w:rPr>
                <w:spacing w:val="-1"/>
                <w:sz w:val="32"/>
                <w:szCs w:val="32"/>
              </w:rPr>
              <w:t>技术参数</w:t>
            </w:r>
            <w:r>
              <w:rPr>
                <w:rFonts w:hint="eastAsia"/>
                <w:spacing w:val="-1"/>
                <w:sz w:val="32"/>
                <w:szCs w:val="32"/>
                <w:lang w:eastAsia="zh-CN"/>
              </w:rPr>
              <w:t>、</w:t>
            </w:r>
            <w:r>
              <w:rPr>
                <w:spacing w:val="1"/>
                <w:sz w:val="32"/>
                <w:szCs w:val="32"/>
              </w:rPr>
              <w:t>商务</w:t>
            </w:r>
            <w:r>
              <w:rPr>
                <w:spacing w:val="-1"/>
                <w:sz w:val="32"/>
                <w:szCs w:val="32"/>
              </w:rPr>
              <w:t>要求</w:t>
            </w:r>
          </w:p>
        </w:tc>
        <w:tc>
          <w:tcPr>
            <w:tcW w:w="7665" w:type="dxa"/>
            <w:vAlign w:val="top"/>
          </w:tcPr>
          <w:p w14:paraId="42749319">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（一）技术参数及性能（配置）要求</w:t>
            </w:r>
          </w:p>
          <w:p w14:paraId="1CC72DE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1、轮椅</w:t>
            </w:r>
          </w:p>
          <w:p w14:paraId="5FF5F59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※(1)符合《GB/T 13800—2009 手动轮椅车》或《GB/Z13800-2021 手动轮椅车》国家标准（提供具有CMA资质的第三方检测机构出具的检测（检验）报告复印件并加盖公章）；</w:t>
            </w:r>
          </w:p>
          <w:p w14:paraId="67EEBB3F">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※(2)配备安全带；</w:t>
            </w:r>
          </w:p>
          <w:p w14:paraId="6966FA2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(3)具有保险公司合法有效产品保单；</w:t>
            </w:r>
          </w:p>
          <w:p w14:paraId="5B3CB4A6">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▲(4)具备有效的医疗器械注册证（体现轮椅型号），在响应文件中提供有效证明材料复印件。</w:t>
            </w:r>
          </w:p>
          <w:p w14:paraId="1AD5AC77">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2、归位桩</w:t>
            </w:r>
          </w:p>
          <w:p w14:paraId="4D388AE2">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(1)模式：“归位桩+轮椅”方式管理，确保每台共享设备有序插入到归位桩上锁。</w:t>
            </w:r>
          </w:p>
          <w:p w14:paraId="17BBC517">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※(2)连接方式：非软链设计，强制收纳，归还即有序；</w:t>
            </w:r>
          </w:p>
          <w:p w14:paraId="5F2F1AA6">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(3)组合：支持1桩1椅投放及1+n组合方式，一个桩位对应一个二维码，根据采购方的需求灵活投放、随时调整或扩充；</w:t>
            </w:r>
          </w:p>
          <w:p w14:paraId="03F46B54">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※(4)电源管理：锂电池供电，无需使用交流电，规避外接电源触电安全隐患；</w:t>
            </w:r>
          </w:p>
          <w:p w14:paraId="4BDC0AE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(5)归位桩摆放：无需破土动工。</w:t>
            </w:r>
          </w:p>
          <w:p w14:paraId="283459B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3、租借系统</w:t>
            </w:r>
          </w:p>
          <w:p w14:paraId="01935B3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▲（1）租借方式：无需安装APP，同时支持支付宝、微信扫码租借；</w:t>
            </w:r>
          </w:p>
          <w:p w14:paraId="07ACA658">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▲（2）信用免押：同时支持微信、支付宝信用免押扫码租借；</w:t>
            </w:r>
          </w:p>
          <w:p w14:paraId="326778E8">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※（3）无广告净化租赁界面，承诺无广告运营；</w:t>
            </w:r>
          </w:p>
          <w:p w14:paraId="1AED918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※（4）升级用户体验，支持碰一碰租轮椅；</w:t>
            </w:r>
          </w:p>
          <w:p w14:paraId="44F596C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（5）租借系统可实现远程升级与迭代管理、远程开锁。</w:t>
            </w:r>
          </w:p>
          <w:p w14:paraId="0AD84901">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（二）商务要求</w:t>
            </w:r>
          </w:p>
          <w:p w14:paraId="2F807CB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1、服务期：自合同签订之日起3年，合同一年一签。</w:t>
            </w:r>
          </w:p>
          <w:p w14:paraId="5DC1820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▲2、明码标价，诚信经营。免费试用不低于0.5小时，每小时收费不高于3元，每日收费设封顶价且不高于30元。不得出现哄抬市价、漫天要价等不诚信行为，否则采购人有权单方面解除合同。</w:t>
            </w:r>
          </w:p>
          <w:p w14:paraId="707F9733">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3、本项目最低限价为：3000元/年向医院缴纳管理费（管理费为：设备电费、保洁和消毒费等）。</w:t>
            </w:r>
          </w:p>
          <w:p w14:paraId="3AFE8B80">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4、服务要求：</w:t>
            </w:r>
          </w:p>
          <w:p w14:paraId="0AE6E573">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※（1）免费质保：服务期内对出现故障或丢失损坏的轮椅和归位桩进行免费维修、更换和补齐；</w:t>
            </w:r>
          </w:p>
          <w:p w14:paraId="1B619DB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※（2）免费送货上门、安装调试，免费培训，负责项目运营中的保洁、消杀等工作；</w:t>
            </w:r>
          </w:p>
          <w:p w14:paraId="4A097178">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服务期内，设备发生采购人无能力处理和修复的故障时，成交供应商应在接到采购人故障通知后2小时内派技术人员到达现场处理，成交供应商负责其所有费用。成交供应商现场无法修复的，必须立即提供备份产品或临时替代产品；</w:t>
            </w:r>
          </w:p>
          <w:p w14:paraId="5A1A93B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※（4）供应商在中国大陆地区设有客服中心，提供7*24小时400技术支持，并配备专业客服人员，须在响应文件中提供供应商或厂商400技术支持电话和专业客服人员名单及2026年依法缴纳社保证明材料复印件；</w:t>
            </w:r>
          </w:p>
          <w:p w14:paraId="1FBD9FE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本项目须配备专业的巡检维护团队（至少含1辅具适配师），人工巡检和在线巡检辅助系统相结合，发现故障及时反馈，排除故障及时上报，须在响应文件中提供供应商或厂商巡检维护团队成员信息及相关人员资质复印件2026年依法缴纳社保证明材料复印件。</w:t>
            </w:r>
          </w:p>
          <w:p w14:paraId="231DF9C5">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6）技术培训要求：设备安装调试合格后10个工作日内成交供应商派专业运维工程师对采购人的项目相关人员提供免费的正规操作和维保培训，以保证参训人员能正常操作设施设备、初步判断故障、简单维护保养。</w:t>
            </w:r>
          </w:p>
          <w:p w14:paraId="7D2C4C0F">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5、签订合同时间、交付使用时间及交货地点：</w:t>
            </w:r>
          </w:p>
          <w:p w14:paraId="6AB2F961">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（1）签订合同时间：自成交通知书发出后5日内。</w:t>
            </w:r>
          </w:p>
          <w:p w14:paraId="357891A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（2）交付使用时间：自签订合同之日起10日内设备（固定桩位+轮椅+程序）安装调试完毕，验收合格投入使用。</w:t>
            </w:r>
          </w:p>
          <w:p w14:paraId="35D66511">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（3）交货地点：采购人指定地点。</w:t>
            </w:r>
          </w:p>
          <w:p w14:paraId="71D39D54">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bookmarkStart w:id="0" w:name="_GoBack"/>
            <w:bookmarkEnd w:id="0"/>
            <w:r>
              <w:rPr>
                <w:rFonts w:hint="default" w:ascii="宋体" w:hAnsi="宋体" w:eastAsia="宋体" w:cs="宋体"/>
                <w:snapToGrid w:val="0"/>
                <w:color w:val="auto"/>
                <w:kern w:val="0"/>
                <w:sz w:val="24"/>
                <w:szCs w:val="24"/>
                <w:lang w:val="en-US" w:eastAsia="zh-CN" w:bidi="ar-SA"/>
              </w:rPr>
              <w:t>说明：1、供应商所提供的产品、服务应实质上相当于或优于本需求表中的技术参数及性能（配置）要求及服务要求。2、本项目中标注“▲”为实质性要求参数，供应商响应必须符合或优于，否则作响应无效处理；标注“※”号的要求为重要技术参数与要求。</w:t>
            </w:r>
          </w:p>
        </w:tc>
      </w:tr>
    </w:tbl>
    <w:p w14:paraId="0FBC5243">
      <w:pPr>
        <w:spacing w:line="14" w:lineRule="auto"/>
        <w:rPr>
          <w:rFonts w:ascii="Arial"/>
          <w:sz w:val="2"/>
        </w:rPr>
      </w:pPr>
    </w:p>
    <w:p w14:paraId="680F5C66">
      <w:pPr>
        <w:pStyle w:val="2"/>
        <w:rPr>
          <w:rFonts w:ascii="Arial"/>
          <w:sz w:val="2"/>
        </w:rPr>
      </w:pPr>
    </w:p>
    <w:p w14:paraId="6E8FB8E5">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left="479" w:leftChars="228" w:firstLine="480" w:firstLineChars="200"/>
        <w:textAlignment w:val="auto"/>
        <w:rPr>
          <w:rFonts w:hint="default" w:ascii="宋体" w:hAnsi="宋体" w:eastAsia="宋体" w:cs="宋体"/>
          <w:snapToGrid w:val="0"/>
          <w:color w:val="auto"/>
          <w:kern w:val="0"/>
          <w:sz w:val="24"/>
          <w:szCs w:val="24"/>
          <w:lang w:val="en-US" w:eastAsia="zh-CN" w:bidi="ar-SA"/>
        </w:rPr>
      </w:pPr>
    </w:p>
    <w:sectPr>
      <w:pgSz w:w="11910" w:h="16840"/>
      <w:pgMar w:top="405" w:right="625" w:bottom="0" w:left="5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NjYjJiZTQzMWZkYzkzMDY4MGMwODg2MmJjNWNiMjQifQ=="/>
  </w:docVars>
  <w:rsids>
    <w:rsidRoot w:val="00000000"/>
    <w:rsid w:val="1218192A"/>
    <w:rsid w:val="130378C1"/>
    <w:rsid w:val="1472581F"/>
    <w:rsid w:val="16155F88"/>
    <w:rsid w:val="1A2A3735"/>
    <w:rsid w:val="2225242F"/>
    <w:rsid w:val="226A6A86"/>
    <w:rsid w:val="3C8D44AB"/>
    <w:rsid w:val="442171A7"/>
    <w:rsid w:val="4D613236"/>
    <w:rsid w:val="523D0001"/>
    <w:rsid w:val="54BB1B63"/>
    <w:rsid w:val="588759C0"/>
    <w:rsid w:val="5B9434BE"/>
    <w:rsid w:val="5D064100"/>
    <w:rsid w:val="5E8636AF"/>
    <w:rsid w:val="63282E71"/>
    <w:rsid w:val="6861748A"/>
    <w:rsid w:val="68830971"/>
    <w:rsid w:val="6D4F64E6"/>
    <w:rsid w:val="6FBF72AC"/>
    <w:rsid w:val="73983492"/>
    <w:rsid w:val="7FB9415E"/>
    <w:rsid w:val="7FF962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basedOn w:val="1"/>
    <w:next w:val="2"/>
    <w:qFormat/>
    <w:uiPriority w:val="0"/>
    <w:pPr>
      <w:spacing w:after="120" w:line="480" w:lineRule="auto"/>
      <w:ind w:firstLine="560" w:firstLineChars="200"/>
    </w:pPr>
    <w:rPr>
      <w:rFonts w:ascii="Calibri" w:hAnsi="Calibri" w:eastAsia="仿宋_GB2312"/>
      <w:sz w:val="28"/>
      <w:szCs w:val="24"/>
    </w:rPr>
  </w:style>
  <w:style w:type="paragraph" w:styleId="4">
    <w:name w:val="Body Text Indent 2"/>
    <w:basedOn w:val="1"/>
    <w:qFormat/>
    <w:uiPriority w:val="0"/>
    <w:pPr>
      <w:spacing w:after="120" w:afterLines="0" w:line="480" w:lineRule="auto"/>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宋体" w:hAnsi="宋体" w:eastAsia="宋体" w:cs="宋体"/>
      <w:sz w:val="23"/>
      <w:szCs w:val="23"/>
      <w:lang w:val="en-US" w:eastAsia="en-US" w:bidi="ar-SA"/>
    </w:rPr>
  </w:style>
  <w:style w:type="character" w:customStyle="1" w:styleId="11">
    <w:name w:val="font31"/>
    <w:basedOn w:val="8"/>
    <w:qFormat/>
    <w:uiPriority w:val="0"/>
    <w:rPr>
      <w:rFonts w:hint="eastAsia" w:ascii="宋体" w:hAnsi="宋体" w:eastAsia="宋体" w:cs="宋体"/>
      <w:b/>
      <w:bCs/>
      <w:color w:val="000000"/>
      <w:sz w:val="21"/>
      <w:szCs w:val="21"/>
      <w:u w:val="none"/>
    </w:rPr>
  </w:style>
  <w:style w:type="character" w:customStyle="1" w:styleId="12">
    <w:name w:val="font2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1696</Words>
  <Characters>1774</Characters>
  <TotalTime>22</TotalTime>
  <ScaleCrop>false</ScaleCrop>
  <LinksUpToDate>false</LinksUpToDate>
  <CharactersWithSpaces>1777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2024-04-18T16:26:00Z</dcterms:created>
  <dc:creator>Administrator</dc:creator>
  <cp:lastModifiedBy>驻马店市中医院招标办</cp:lastModifiedBy>
  <cp:lastPrinted>2024-04-19T00:07:00Z</cp:lastPrinted>
  <dcterms:modified xsi:type="dcterms:W3CDTF">2026-08-25T09:14:15Z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2024-04-18T16:26:51Z</vt:filetime>
  </property>
  <property fmtid="{D5CDD505-2E9C-101B-9397-08002B2CF9AE}" pid="4" name="UsrData">
    <vt:lpwstr>6620d9482c5135001f4fd140wl</vt:lpwstr>
  </property>
  <property fmtid="{D5CDD505-2E9C-101B-9397-08002B2CF9AE}" pid="5" name="KSOProductBuildVer">
    <vt:lpwstr>2052-12.1.0.28043</vt:lpwstr>
  </property>
  <property fmtid="{D5CDD505-2E9C-101B-9397-08002B2CF9AE}" pid="6" name="ICV">
    <vt:lpwstr>19E4B4FD748049C19E14D44F373BDCFC_13</vt:lpwstr>
  </property>
  <property fmtid="{D5CDD505-2E9C-101B-9397-08002B2CF9AE}" pid="7" name="KSOTemplateDocerSaveRecord">
    <vt:lpwstr>eyJoZGlkIjoiMTEyNGU5MjFiZWU2ZTkyMTZhZDU5NDk5ZTg5NzZkMzciLCJ1c2VySWQiOiIxMTM3NDM2MzI0In0=</vt:lpwstr>
  </property>
</Properties>
</file>